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4054A">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仿宋" w:hAnsi="仿宋" w:eastAsia="仿宋" w:cs="仿宋"/>
          <w:b/>
          <w:bCs/>
          <w:color w:val="auto"/>
          <w:sz w:val="40"/>
          <w:szCs w:val="40"/>
          <w:highlight w:val="none"/>
          <w:lang w:val="en-US" w:eastAsia="zh-CN"/>
        </w:rPr>
      </w:pPr>
      <w:r>
        <w:rPr>
          <w:rFonts w:hint="eastAsia" w:ascii="仿宋" w:hAnsi="仿宋" w:eastAsia="仿宋" w:cs="仿宋"/>
          <w:b/>
          <w:bCs/>
          <w:color w:val="auto"/>
          <w:sz w:val="40"/>
          <w:szCs w:val="40"/>
          <w:highlight w:val="none"/>
          <w:lang w:val="en-US" w:eastAsia="zh-CN"/>
        </w:rPr>
        <w:t>2026年危旧房屋和城中村改造房地产测绘评估等服务事项实施框架协议采购项目</w:t>
      </w:r>
    </w:p>
    <w:p w14:paraId="1B634CEA">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仿宋" w:hAnsi="仿宋" w:eastAsia="仿宋" w:cs="仿宋"/>
          <w:b/>
          <w:bCs/>
          <w:color w:val="auto"/>
          <w:sz w:val="40"/>
          <w:szCs w:val="40"/>
          <w:highlight w:val="none"/>
          <w:lang w:val="en-US" w:eastAsia="zh-CN"/>
        </w:rPr>
      </w:pPr>
    </w:p>
    <w:p w14:paraId="072D5F72">
      <w:pPr>
        <w:spacing w:line="760" w:lineRule="exact"/>
        <w:jc w:val="center"/>
        <w:rPr>
          <w:rFonts w:hint="default" w:ascii="仿宋" w:hAnsi="仿宋" w:eastAsia="仿宋" w:cs="仿宋"/>
          <w:b/>
          <w:bCs/>
          <w:color w:val="auto"/>
          <w:sz w:val="40"/>
          <w:szCs w:val="40"/>
          <w:highlight w:val="none"/>
          <w:lang w:val="en-US" w:eastAsia="zh-CN"/>
        </w:rPr>
      </w:pPr>
      <w:r>
        <w:rPr>
          <w:rFonts w:hint="eastAsia" w:ascii="仿宋" w:hAnsi="仿宋" w:eastAsia="仿宋" w:cs="仿宋"/>
          <w:b/>
          <w:bCs/>
          <w:color w:val="auto"/>
          <w:sz w:val="36"/>
          <w:szCs w:val="36"/>
          <w:highlight w:val="none"/>
          <w:lang w:val="en-US" w:eastAsia="zh-CN"/>
        </w:rPr>
        <w:t>项目编号：ATSJYZX-CG（KJ)-2026032</w:t>
      </w:r>
      <w:r>
        <w:rPr>
          <w:rFonts w:hint="eastAsia" w:ascii="仿宋" w:hAnsi="仿宋" w:eastAsia="仿宋" w:cs="仿宋"/>
          <w:b/>
          <w:bCs/>
          <w:color w:val="auto"/>
          <w:sz w:val="40"/>
          <w:szCs w:val="40"/>
          <w:highlight w:val="none"/>
          <w:lang w:eastAsia="zh-CN"/>
        </w:rPr>
        <w:t xml:space="preserve"> </w:t>
      </w:r>
      <w:r>
        <w:rPr>
          <w:rFonts w:hint="eastAsia" w:ascii="仿宋" w:hAnsi="仿宋" w:eastAsia="仿宋" w:cs="仿宋"/>
          <w:b/>
          <w:bCs/>
          <w:color w:val="auto"/>
          <w:sz w:val="40"/>
          <w:szCs w:val="40"/>
          <w:highlight w:val="none"/>
          <w:lang w:val="en-US" w:eastAsia="zh-CN"/>
        </w:rPr>
        <w:t xml:space="preserve"> </w:t>
      </w:r>
    </w:p>
    <w:p w14:paraId="6DDE1256">
      <w:pPr>
        <w:pStyle w:val="24"/>
        <w:rPr>
          <w:rFonts w:hint="eastAsia" w:ascii="仿宋" w:hAnsi="仿宋" w:eastAsia="仿宋" w:cs="仿宋"/>
          <w:color w:val="auto"/>
          <w:highlight w:val="none"/>
        </w:rPr>
      </w:pPr>
    </w:p>
    <w:p w14:paraId="7C39D4A2">
      <w:pPr>
        <w:pStyle w:val="24"/>
        <w:rPr>
          <w:rFonts w:hint="eastAsia" w:ascii="仿宋" w:hAnsi="仿宋" w:eastAsia="仿宋" w:cs="仿宋"/>
          <w:color w:val="auto"/>
          <w:highlight w:val="none"/>
        </w:rPr>
      </w:pPr>
    </w:p>
    <w:p w14:paraId="0990CEF9">
      <w:pPr>
        <w:pStyle w:val="24"/>
        <w:jc w:val="center"/>
        <w:rPr>
          <w:rFonts w:hint="eastAsia" w:ascii="仿宋" w:hAnsi="仿宋" w:eastAsia="仿宋" w:cs="仿宋"/>
          <w:b/>
          <w:color w:val="auto"/>
          <w:sz w:val="96"/>
          <w:szCs w:val="96"/>
          <w:highlight w:val="none"/>
          <w:lang w:val="en-US" w:eastAsia="zh-CN"/>
        </w:rPr>
      </w:pPr>
      <w:r>
        <w:rPr>
          <w:rFonts w:hint="eastAsia" w:ascii="仿宋" w:hAnsi="仿宋" w:eastAsia="仿宋" w:cs="仿宋"/>
          <w:b/>
          <w:color w:val="auto"/>
          <w:sz w:val="96"/>
          <w:szCs w:val="96"/>
          <w:highlight w:val="none"/>
          <w:lang w:val="en-US" w:eastAsia="zh-CN"/>
        </w:rPr>
        <w:t>征</w:t>
      </w:r>
    </w:p>
    <w:p w14:paraId="5EED6E08">
      <w:pPr>
        <w:pStyle w:val="24"/>
        <w:jc w:val="center"/>
        <w:rPr>
          <w:rFonts w:hint="eastAsia" w:ascii="仿宋" w:hAnsi="仿宋" w:eastAsia="仿宋" w:cs="仿宋"/>
          <w:b/>
          <w:color w:val="auto"/>
          <w:sz w:val="96"/>
          <w:szCs w:val="96"/>
          <w:highlight w:val="none"/>
          <w:lang w:val="en-US" w:eastAsia="zh-CN"/>
        </w:rPr>
      </w:pPr>
      <w:r>
        <w:rPr>
          <w:rFonts w:hint="eastAsia" w:ascii="仿宋" w:hAnsi="仿宋" w:eastAsia="仿宋" w:cs="仿宋"/>
          <w:b/>
          <w:color w:val="auto"/>
          <w:sz w:val="96"/>
          <w:szCs w:val="96"/>
          <w:highlight w:val="none"/>
          <w:lang w:val="en-US" w:eastAsia="zh-CN"/>
        </w:rPr>
        <w:t>集</w:t>
      </w:r>
    </w:p>
    <w:p w14:paraId="34642F29">
      <w:pPr>
        <w:pStyle w:val="24"/>
        <w:jc w:val="center"/>
        <w:rPr>
          <w:rFonts w:hint="eastAsia"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rPr>
        <w:t>文</w:t>
      </w:r>
    </w:p>
    <w:p w14:paraId="3B80EF04">
      <w:pPr>
        <w:pStyle w:val="24"/>
        <w:jc w:val="center"/>
        <w:rPr>
          <w:rFonts w:hint="eastAsia"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rPr>
        <w:t>件</w:t>
      </w:r>
    </w:p>
    <w:p w14:paraId="6BDC71A3">
      <w:pPr>
        <w:spacing w:line="700" w:lineRule="exac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 xml:space="preserve">采购单位：阿图什市住房和城乡建设局（阿图什市国有土地上房屋征收与补偿管理办公室）       </w:t>
      </w:r>
    </w:p>
    <w:p w14:paraId="27EABE92">
      <w:pPr>
        <w:spacing w:line="700" w:lineRule="exac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 xml:space="preserve">联 系 人: </w:t>
      </w:r>
      <w:r>
        <w:rPr>
          <w:rFonts w:hint="eastAsia" w:ascii="仿宋" w:hAnsi="仿宋" w:eastAsia="仿宋" w:cs="仿宋"/>
          <w:color w:val="auto"/>
          <w:sz w:val="32"/>
          <w:szCs w:val="32"/>
          <w:highlight w:val="none"/>
          <w:lang w:val="en-US" w:eastAsia="zh-CN"/>
        </w:rPr>
        <w:t>徐先生</w:t>
      </w:r>
      <w:r>
        <w:rPr>
          <w:rFonts w:hint="eastAsia" w:ascii="仿宋" w:hAnsi="仿宋" w:eastAsia="仿宋" w:cs="仿宋"/>
          <w:color w:val="auto"/>
          <w:sz w:val="32"/>
          <w:szCs w:val="32"/>
          <w:highlight w:val="none"/>
          <w:lang w:eastAsia="zh-CN"/>
        </w:rPr>
        <w:t xml:space="preserve">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联系电话：</w:t>
      </w:r>
      <w:r>
        <w:rPr>
          <w:rFonts w:hint="eastAsia" w:ascii="仿宋" w:hAnsi="仿宋" w:eastAsia="仿宋" w:cs="仿宋"/>
          <w:color w:val="auto"/>
          <w:sz w:val="32"/>
          <w:szCs w:val="32"/>
          <w:highlight w:val="none"/>
          <w:lang w:val="en-US" w:eastAsia="zh-CN"/>
        </w:rPr>
        <w:t>18209089665</w:t>
      </w:r>
    </w:p>
    <w:p w14:paraId="267883D1">
      <w:pPr>
        <w:spacing w:line="700" w:lineRule="exac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代理机构：</w:t>
      </w:r>
      <w:r>
        <w:rPr>
          <w:rFonts w:hint="eastAsia" w:ascii="仿宋" w:hAnsi="仿宋" w:eastAsia="仿宋" w:cs="仿宋"/>
          <w:color w:val="auto"/>
          <w:sz w:val="32"/>
          <w:szCs w:val="32"/>
          <w:highlight w:val="none"/>
          <w:lang w:val="en-US" w:eastAsia="zh-CN"/>
        </w:rPr>
        <w:t>新疆誉诚信工程项目管理有限责任公司</w:t>
      </w:r>
    </w:p>
    <w:p w14:paraId="7250E858">
      <w:pPr>
        <w:spacing w:line="700" w:lineRule="exact"/>
        <w:rPr>
          <w:rFonts w:hint="default" w:ascii="仿宋" w:hAnsi="仿宋" w:eastAsia="仿宋" w:cs="仿宋"/>
          <w:b/>
          <w:color w:val="auto"/>
          <w:sz w:val="32"/>
          <w:szCs w:val="32"/>
          <w:highlight w:val="none"/>
          <w:lang w:val="en-US" w:eastAsia="zh-CN"/>
        </w:rPr>
      </w:pPr>
      <w:r>
        <w:rPr>
          <w:rFonts w:hint="eastAsia" w:ascii="仿宋" w:hAnsi="仿宋" w:eastAsia="仿宋" w:cs="仿宋"/>
          <w:color w:val="auto"/>
          <w:sz w:val="32"/>
          <w:szCs w:val="32"/>
          <w:highlight w:val="none"/>
          <w:lang w:eastAsia="zh-CN"/>
        </w:rPr>
        <w:t>联 系 人：</w:t>
      </w:r>
      <w:r>
        <w:rPr>
          <w:rFonts w:hint="eastAsia" w:ascii="仿宋" w:hAnsi="仿宋" w:eastAsia="仿宋" w:cs="仿宋"/>
          <w:color w:val="auto"/>
          <w:sz w:val="32"/>
          <w:szCs w:val="32"/>
          <w:highlight w:val="none"/>
          <w:lang w:val="en-US" w:eastAsia="zh-CN"/>
        </w:rPr>
        <w:t xml:space="preserve">施先生        </w:t>
      </w:r>
      <w:r>
        <w:rPr>
          <w:rFonts w:hint="eastAsia" w:ascii="仿宋" w:hAnsi="仿宋" w:eastAsia="仿宋" w:cs="仿宋"/>
          <w:color w:val="auto"/>
          <w:sz w:val="32"/>
          <w:szCs w:val="32"/>
          <w:highlight w:val="none"/>
          <w:lang w:eastAsia="zh-CN"/>
        </w:rPr>
        <w:t xml:space="preserve">联系电话: </w:t>
      </w:r>
      <w:r>
        <w:rPr>
          <w:rFonts w:hint="eastAsia" w:ascii="仿宋" w:hAnsi="仿宋" w:eastAsia="仿宋" w:cs="仿宋"/>
          <w:color w:val="auto"/>
          <w:sz w:val="32"/>
          <w:szCs w:val="32"/>
          <w:highlight w:val="none"/>
          <w:lang w:val="en-US" w:eastAsia="zh-CN"/>
        </w:rPr>
        <w:t>15209085733</w:t>
      </w:r>
    </w:p>
    <w:p w14:paraId="5A2D7C66">
      <w:pPr>
        <w:pStyle w:val="26"/>
        <w:rPr>
          <w:rFonts w:hint="eastAsia" w:ascii="仿宋" w:hAnsi="仿宋" w:eastAsia="仿宋" w:cs="仿宋"/>
          <w:b/>
          <w:color w:val="auto"/>
          <w:sz w:val="36"/>
          <w:szCs w:val="36"/>
          <w:highlight w:val="none"/>
          <w:lang w:eastAsia="zh-CN"/>
        </w:rPr>
      </w:pPr>
    </w:p>
    <w:p w14:paraId="5593440F">
      <w:pPr>
        <w:ind w:firstLine="3600" w:firstLineChars="1000"/>
        <w:jc w:val="both"/>
        <w:rPr>
          <w:rFonts w:hint="eastAsia" w:ascii="仿宋" w:hAnsi="仿宋" w:eastAsia="仿宋" w:cs="仿宋"/>
          <w:b/>
          <w:color w:val="auto"/>
          <w:sz w:val="36"/>
          <w:szCs w:val="36"/>
          <w:highlight w:val="none"/>
          <w:lang w:val="en-US" w:eastAsia="zh-CN"/>
        </w:rPr>
        <w:sectPr>
          <w:headerReference r:id="rId5" w:type="default"/>
          <w:footerReference r:id="rId6" w:type="default"/>
          <w:pgSz w:w="11906" w:h="16838"/>
          <w:pgMar w:top="1440" w:right="1519" w:bottom="1440" w:left="1519"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仿宋" w:hAnsi="仿宋" w:eastAsia="仿宋" w:cs="仿宋"/>
          <w:b w:val="0"/>
          <w:bCs/>
          <w:color w:val="auto"/>
          <w:sz w:val="36"/>
          <w:szCs w:val="36"/>
          <w:highlight w:val="none"/>
          <w:lang w:val="en-US" w:eastAsia="zh-CN"/>
        </w:rPr>
        <w:t>2026年4月</w:t>
      </w:r>
    </w:p>
    <w:p w14:paraId="68F8E802">
      <w:pPr>
        <w:pStyle w:val="4"/>
        <w:spacing w:line="274" w:lineRule="auto"/>
        <w:jc w:val="center"/>
        <w:rPr>
          <w:rFonts w:hint="default"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lang w:val="en-US" w:eastAsia="zh-CN"/>
        </w:rPr>
        <w:t xml:space="preserve">目录 </w:t>
      </w:r>
    </w:p>
    <w:p w14:paraId="7655AACD">
      <w:pPr>
        <w:spacing w:line="339" w:lineRule="exact"/>
        <w:ind w:firstLine="4336"/>
        <w:rPr>
          <w:rFonts w:hint="eastAsia" w:ascii="仿宋" w:hAnsi="仿宋" w:eastAsia="仿宋" w:cs="仿宋"/>
          <w:color w:val="auto"/>
          <w:highlight w:val="none"/>
        </w:rPr>
      </w:pPr>
    </w:p>
    <w:p w14:paraId="5E85BB50">
      <w:pPr>
        <w:pStyle w:val="4"/>
        <w:numPr>
          <w:ilvl w:val="0"/>
          <w:numId w:val="1"/>
        </w:numPr>
        <w:spacing w:before="124" w:line="215" w:lineRule="auto"/>
        <w:jc w:val="left"/>
        <w:rPr>
          <w:rFonts w:hint="eastAsia" w:ascii="仿宋" w:hAnsi="仿宋" w:eastAsia="仿宋" w:cs="仿宋"/>
          <w:color w:val="auto"/>
          <w:spacing w:val="3"/>
          <w:position w:val="1"/>
          <w:sz w:val="29"/>
          <w:szCs w:val="29"/>
          <w:highlight w:val="none"/>
        </w:rPr>
      </w:pPr>
      <w:r>
        <w:rPr>
          <w:rFonts w:hint="eastAsia" w:ascii="仿宋" w:hAnsi="仿宋" w:eastAsia="仿宋" w:cs="仿宋"/>
          <w:color w:val="auto"/>
          <w:spacing w:val="3"/>
          <w:sz w:val="29"/>
          <w:szCs w:val="29"/>
          <w:highlight w:val="none"/>
        </w:rPr>
        <w:t>征集公告 .</w:t>
      </w:r>
      <w:r>
        <w:rPr>
          <w:rFonts w:hint="eastAsia" w:ascii="仿宋" w:hAnsi="仿宋" w:eastAsia="仿宋" w:cs="仿宋"/>
          <w:color w:val="auto"/>
          <w:spacing w:val="3"/>
          <w:position w:val="2"/>
          <w:sz w:val="29"/>
          <w:szCs w:val="29"/>
          <w:highlight w:val="none"/>
        </w:rPr>
        <w:t>...............................................................</w:t>
      </w:r>
    </w:p>
    <w:p w14:paraId="34B988CF">
      <w:pPr>
        <w:pStyle w:val="4"/>
        <w:numPr>
          <w:ilvl w:val="0"/>
          <w:numId w:val="0"/>
        </w:numPr>
        <w:spacing w:before="124" w:line="215" w:lineRule="auto"/>
        <w:rPr>
          <w:rFonts w:hint="eastAsia" w:ascii="仿宋" w:hAnsi="仿宋" w:eastAsia="仿宋" w:cs="仿宋"/>
          <w:color w:val="auto"/>
          <w:sz w:val="29"/>
          <w:szCs w:val="29"/>
          <w:highlight w:val="none"/>
        </w:rPr>
      </w:pPr>
      <w:r>
        <w:rPr>
          <w:rFonts w:hint="eastAsia" w:ascii="仿宋" w:hAnsi="仿宋" w:eastAsia="仿宋" w:cs="仿宋"/>
          <w:color w:val="auto"/>
          <w:spacing w:val="3"/>
          <w:sz w:val="29"/>
          <w:szCs w:val="29"/>
          <w:highlight w:val="none"/>
        </w:rPr>
        <w:t>第二部分</w:t>
      </w:r>
      <w:r>
        <w:rPr>
          <w:rFonts w:hint="eastAsia" w:ascii="仿宋" w:hAnsi="仿宋" w:eastAsia="仿宋" w:cs="仿宋"/>
          <w:color w:val="auto"/>
          <w:spacing w:val="58"/>
          <w:sz w:val="29"/>
          <w:szCs w:val="29"/>
          <w:highlight w:val="none"/>
        </w:rPr>
        <w:t xml:space="preserve"> </w:t>
      </w:r>
      <w:r>
        <w:rPr>
          <w:rFonts w:hint="eastAsia" w:ascii="仿宋" w:hAnsi="仿宋" w:eastAsia="仿宋" w:cs="仿宋"/>
          <w:color w:val="auto"/>
          <w:spacing w:val="3"/>
          <w:sz w:val="29"/>
          <w:szCs w:val="29"/>
          <w:highlight w:val="none"/>
        </w:rPr>
        <w:t>供应商须知</w:t>
      </w:r>
      <w:r>
        <w:rPr>
          <w:rFonts w:hint="eastAsia" w:ascii="仿宋" w:hAnsi="仿宋" w:eastAsia="仿宋" w:cs="仿宋"/>
          <w:color w:val="auto"/>
          <w:spacing w:val="47"/>
          <w:sz w:val="29"/>
          <w:szCs w:val="29"/>
          <w:highlight w:val="none"/>
        </w:rPr>
        <w:t xml:space="preserve"> </w:t>
      </w:r>
      <w:r>
        <w:rPr>
          <w:rFonts w:hint="eastAsia" w:ascii="仿宋" w:hAnsi="仿宋" w:eastAsia="仿宋" w:cs="仿宋"/>
          <w:color w:val="auto"/>
          <w:spacing w:val="3"/>
          <w:position w:val="2"/>
          <w:sz w:val="29"/>
          <w:szCs w:val="29"/>
          <w:highlight w:val="none"/>
        </w:rPr>
        <w:t>................................................................</w:t>
      </w:r>
    </w:p>
    <w:p w14:paraId="0E7DBFED">
      <w:pPr>
        <w:pStyle w:val="4"/>
        <w:spacing w:before="331" w:line="215" w:lineRule="auto"/>
        <w:rPr>
          <w:rFonts w:hint="eastAsia" w:ascii="仿宋" w:hAnsi="仿宋" w:eastAsia="仿宋" w:cs="仿宋"/>
          <w:color w:val="auto"/>
          <w:sz w:val="29"/>
          <w:szCs w:val="29"/>
          <w:highlight w:val="none"/>
        </w:rPr>
      </w:pPr>
      <w:r>
        <w:rPr>
          <w:rFonts w:hint="eastAsia" w:ascii="仿宋" w:hAnsi="仿宋" w:eastAsia="仿宋" w:cs="仿宋"/>
          <w:color w:val="auto"/>
          <w:spacing w:val="3"/>
          <w:sz w:val="29"/>
          <w:szCs w:val="29"/>
          <w:highlight w:val="none"/>
        </w:rPr>
        <w:t>第三部分</w:t>
      </w:r>
      <w:r>
        <w:rPr>
          <w:rFonts w:hint="eastAsia" w:ascii="仿宋" w:hAnsi="仿宋" w:eastAsia="仿宋" w:cs="仿宋"/>
          <w:color w:val="auto"/>
          <w:spacing w:val="62"/>
          <w:sz w:val="29"/>
          <w:szCs w:val="29"/>
          <w:highlight w:val="none"/>
        </w:rPr>
        <w:t xml:space="preserve"> </w:t>
      </w:r>
      <w:r>
        <w:rPr>
          <w:rFonts w:hint="eastAsia" w:ascii="仿宋" w:hAnsi="仿宋" w:eastAsia="仿宋" w:cs="仿宋"/>
          <w:color w:val="auto"/>
          <w:spacing w:val="3"/>
          <w:sz w:val="29"/>
          <w:szCs w:val="29"/>
          <w:highlight w:val="none"/>
        </w:rPr>
        <w:t xml:space="preserve">采购需求 </w:t>
      </w:r>
      <w:r>
        <w:rPr>
          <w:rFonts w:hint="eastAsia" w:ascii="仿宋" w:hAnsi="仿宋" w:eastAsia="仿宋" w:cs="仿宋"/>
          <w:color w:val="auto"/>
          <w:spacing w:val="3"/>
          <w:position w:val="2"/>
          <w:sz w:val="29"/>
          <w:szCs w:val="29"/>
          <w:highlight w:val="none"/>
        </w:rPr>
        <w:t>...............................................................</w:t>
      </w:r>
    </w:p>
    <w:p w14:paraId="16545A6E">
      <w:pPr>
        <w:pStyle w:val="4"/>
        <w:spacing w:before="330" w:line="215" w:lineRule="auto"/>
        <w:rPr>
          <w:rFonts w:hint="eastAsia" w:ascii="仿宋" w:hAnsi="仿宋" w:eastAsia="仿宋" w:cs="仿宋"/>
          <w:color w:val="auto"/>
          <w:sz w:val="29"/>
          <w:szCs w:val="29"/>
          <w:highlight w:val="none"/>
        </w:rPr>
      </w:pPr>
      <w:r>
        <w:rPr>
          <w:rFonts w:hint="eastAsia" w:ascii="仿宋" w:hAnsi="仿宋" w:eastAsia="仿宋" w:cs="仿宋"/>
          <w:color w:val="auto"/>
          <w:spacing w:val="3"/>
          <w:sz w:val="29"/>
          <w:szCs w:val="29"/>
          <w:highlight w:val="none"/>
        </w:rPr>
        <w:t>第四部分</w:t>
      </w:r>
      <w:r>
        <w:rPr>
          <w:rFonts w:hint="eastAsia" w:ascii="仿宋" w:hAnsi="仿宋" w:eastAsia="仿宋" w:cs="仿宋"/>
          <w:color w:val="auto"/>
          <w:spacing w:val="65"/>
          <w:sz w:val="29"/>
          <w:szCs w:val="29"/>
          <w:highlight w:val="none"/>
        </w:rPr>
        <w:t xml:space="preserve"> </w:t>
      </w:r>
      <w:r>
        <w:rPr>
          <w:rFonts w:hint="eastAsia" w:ascii="仿宋" w:hAnsi="仿宋" w:eastAsia="仿宋" w:cs="仿宋"/>
          <w:color w:val="auto"/>
          <w:spacing w:val="3"/>
          <w:sz w:val="29"/>
          <w:szCs w:val="29"/>
          <w:highlight w:val="none"/>
        </w:rPr>
        <w:t xml:space="preserve">评标办法 </w:t>
      </w:r>
      <w:r>
        <w:rPr>
          <w:rFonts w:hint="eastAsia" w:ascii="仿宋" w:hAnsi="仿宋" w:eastAsia="仿宋" w:cs="仿宋"/>
          <w:color w:val="auto"/>
          <w:spacing w:val="3"/>
          <w:position w:val="1"/>
          <w:sz w:val="29"/>
          <w:szCs w:val="29"/>
          <w:highlight w:val="none"/>
        </w:rPr>
        <w:t>...............................................................</w:t>
      </w:r>
    </w:p>
    <w:p w14:paraId="545E969A">
      <w:pPr>
        <w:pStyle w:val="4"/>
        <w:spacing w:before="334" w:line="194" w:lineRule="auto"/>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第五部分</w:t>
      </w:r>
      <w:r>
        <w:rPr>
          <w:rFonts w:hint="eastAsia" w:ascii="仿宋" w:hAnsi="仿宋" w:eastAsia="仿宋" w:cs="仿宋"/>
          <w:color w:val="auto"/>
          <w:spacing w:val="26"/>
          <w:sz w:val="32"/>
          <w:szCs w:val="32"/>
          <w:highlight w:val="none"/>
        </w:rPr>
        <w:t xml:space="preserve"> </w:t>
      </w:r>
      <w:r>
        <w:rPr>
          <w:rFonts w:hint="eastAsia" w:ascii="仿宋" w:hAnsi="仿宋" w:eastAsia="仿宋" w:cs="仿宋"/>
          <w:color w:val="auto"/>
          <w:spacing w:val="2"/>
          <w:sz w:val="32"/>
          <w:szCs w:val="32"/>
          <w:highlight w:val="none"/>
        </w:rPr>
        <w:t>框架协议(</w:t>
      </w:r>
      <w:r>
        <w:rPr>
          <w:rFonts w:hint="eastAsia" w:ascii="仿宋" w:hAnsi="仿宋" w:eastAsia="仿宋" w:cs="仿宋"/>
          <w:color w:val="auto"/>
          <w:spacing w:val="2"/>
          <w:sz w:val="32"/>
          <w:szCs w:val="32"/>
          <w:highlight w:val="none"/>
          <w:lang w:val="en-US" w:eastAsia="zh-CN"/>
        </w:rPr>
        <w:t>参考</w:t>
      </w:r>
      <w:r>
        <w:rPr>
          <w:rFonts w:hint="eastAsia" w:ascii="仿宋" w:hAnsi="仿宋" w:eastAsia="仿宋" w:cs="仿宋"/>
          <w:color w:val="auto"/>
          <w:spacing w:val="2"/>
          <w:sz w:val="32"/>
          <w:szCs w:val="32"/>
          <w:highlight w:val="none"/>
        </w:rPr>
        <w:t>)</w:t>
      </w:r>
      <w:r>
        <w:rPr>
          <w:rFonts w:hint="eastAsia" w:ascii="仿宋" w:hAnsi="仿宋" w:eastAsia="仿宋" w:cs="仿宋"/>
          <w:color w:val="auto"/>
          <w:spacing w:val="42"/>
          <w:sz w:val="32"/>
          <w:szCs w:val="32"/>
          <w:highlight w:val="none"/>
        </w:rPr>
        <w:t xml:space="preserve">  </w:t>
      </w:r>
      <w:r>
        <w:rPr>
          <w:rFonts w:hint="eastAsia" w:ascii="仿宋" w:hAnsi="仿宋" w:eastAsia="仿宋" w:cs="仿宋"/>
          <w:color w:val="auto"/>
          <w:spacing w:val="2"/>
          <w:position w:val="1"/>
          <w:sz w:val="29"/>
          <w:szCs w:val="29"/>
          <w:highlight w:val="none"/>
        </w:rPr>
        <w:t>.........................................</w:t>
      </w:r>
      <w:r>
        <w:rPr>
          <w:rFonts w:hint="eastAsia" w:ascii="仿宋" w:hAnsi="仿宋" w:eastAsia="仿宋" w:cs="仿宋"/>
          <w:color w:val="auto"/>
          <w:spacing w:val="1"/>
          <w:position w:val="1"/>
          <w:sz w:val="29"/>
          <w:szCs w:val="29"/>
          <w:highlight w:val="none"/>
        </w:rPr>
        <w:t>......................</w:t>
      </w:r>
    </w:p>
    <w:p w14:paraId="2D3AD488">
      <w:pPr>
        <w:pStyle w:val="4"/>
        <w:spacing w:before="334" w:line="194" w:lineRule="auto"/>
        <w:rPr>
          <w:rFonts w:hint="eastAsia"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 xml:space="preserve">第六部分 采购合同(格式)   </w:t>
      </w:r>
      <w:r>
        <w:rPr>
          <w:rFonts w:hint="eastAsia" w:ascii="仿宋" w:hAnsi="仿宋" w:eastAsia="仿宋" w:cs="仿宋"/>
          <w:color w:val="auto"/>
          <w:spacing w:val="2"/>
          <w:position w:val="2"/>
          <w:sz w:val="29"/>
          <w:szCs w:val="29"/>
          <w:highlight w:val="none"/>
        </w:rPr>
        <w:t>...............................................................</w:t>
      </w:r>
    </w:p>
    <w:p w14:paraId="287F48EF">
      <w:pPr>
        <w:pStyle w:val="4"/>
        <w:spacing w:line="251" w:lineRule="auto"/>
        <w:rPr>
          <w:rFonts w:hint="eastAsia" w:ascii="仿宋" w:hAnsi="仿宋" w:eastAsia="仿宋" w:cs="仿宋"/>
          <w:color w:val="auto"/>
          <w:highlight w:val="none"/>
        </w:rPr>
      </w:pPr>
    </w:p>
    <w:p w14:paraId="7CFDDE24">
      <w:pPr>
        <w:pStyle w:val="4"/>
        <w:spacing w:before="125" w:line="215" w:lineRule="auto"/>
        <w:rPr>
          <w:rFonts w:hint="eastAsia" w:ascii="仿宋" w:hAnsi="仿宋" w:eastAsia="仿宋" w:cs="仿宋"/>
          <w:color w:val="auto"/>
          <w:spacing w:val="1"/>
          <w:position w:val="1"/>
          <w:sz w:val="32"/>
          <w:szCs w:val="32"/>
          <w:highlight w:val="none"/>
          <w:lang w:val="en-US" w:eastAsia="zh-CN"/>
        </w:rPr>
        <w:sectPr>
          <w:headerReference r:id="rId7" w:type="default"/>
          <w:footerReference r:id="rId8"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2"/>
          <w:sz w:val="32"/>
          <w:szCs w:val="32"/>
          <w:highlight w:val="none"/>
        </w:rPr>
        <w:t xml:space="preserve">第七部分  响应文件格式 </w:t>
      </w:r>
      <w:r>
        <w:rPr>
          <w:rFonts w:hint="eastAsia" w:ascii="仿宋" w:hAnsi="仿宋" w:eastAsia="仿宋" w:cs="仿宋"/>
          <w:color w:val="auto"/>
          <w:spacing w:val="3"/>
          <w:position w:val="2"/>
          <w:sz w:val="29"/>
          <w:szCs w:val="29"/>
          <w:highlight w:val="none"/>
        </w:rPr>
        <w:t>.............................................................</w:t>
      </w:r>
      <w:r>
        <w:rPr>
          <w:rFonts w:hint="eastAsia" w:ascii="仿宋" w:hAnsi="仿宋" w:eastAsia="仿宋" w:cs="仿宋"/>
          <w:color w:val="auto"/>
          <w:spacing w:val="2"/>
          <w:position w:val="2"/>
          <w:sz w:val="29"/>
          <w:szCs w:val="29"/>
          <w:highlight w:val="none"/>
        </w:rPr>
        <w:t>.</w:t>
      </w:r>
    </w:p>
    <w:p w14:paraId="247CAE04">
      <w:pPr>
        <w:jc w:val="center"/>
        <w:rPr>
          <w:rFonts w:hint="eastAsia" w:ascii="仿宋" w:hAnsi="仿宋" w:eastAsia="仿宋" w:cs="仿宋"/>
          <w:color w:val="auto"/>
          <w:sz w:val="36"/>
          <w:szCs w:val="36"/>
          <w:highlight w:val="none"/>
          <w14:textOutline w14:w="4358" w14:cap="sq" w14:cmpd="sng">
            <w14:solidFill>
              <w14:srgbClr w14:val="000000"/>
            </w14:solidFill>
            <w14:prstDash w14:val="solid"/>
            <w14:bevel/>
          </w14:textOutline>
        </w:rPr>
      </w:pPr>
      <w:r>
        <w:rPr>
          <w:rFonts w:hint="eastAsia" w:ascii="仿宋" w:hAnsi="仿宋" w:eastAsia="仿宋" w:cs="仿宋"/>
          <w:color w:val="auto"/>
          <w:sz w:val="36"/>
          <w:szCs w:val="36"/>
          <w:highlight w:val="none"/>
          <w14:textOutline w14:w="4358" w14:cap="sq" w14:cmpd="sng">
            <w14:solidFill>
              <w14:srgbClr w14:val="000000"/>
            </w14:solidFill>
            <w14:prstDash w14:val="solid"/>
            <w14:bevel/>
          </w14:textOutline>
        </w:rPr>
        <w:t>第</w:t>
      </w:r>
      <w:r>
        <w:rPr>
          <w:rFonts w:hint="eastAsia" w:ascii="仿宋" w:hAnsi="仿宋" w:eastAsia="仿宋" w:cs="仿宋"/>
          <w:color w:val="auto"/>
          <w:sz w:val="36"/>
          <w:szCs w:val="36"/>
          <w:highlight w:val="none"/>
          <w:lang w:eastAsia="zh-CN"/>
          <w14:textOutline w14:w="4358" w14:cap="sq" w14:cmpd="sng">
            <w14:solidFill>
              <w14:srgbClr w14:val="000000"/>
            </w14:solidFill>
            <w14:prstDash w14:val="solid"/>
            <w14:bevel/>
          </w14:textOutline>
        </w:rPr>
        <w:t>一</w:t>
      </w:r>
      <w:r>
        <w:rPr>
          <w:rFonts w:hint="eastAsia" w:ascii="仿宋" w:hAnsi="仿宋" w:eastAsia="仿宋" w:cs="仿宋"/>
          <w:color w:val="auto"/>
          <w:sz w:val="36"/>
          <w:szCs w:val="36"/>
          <w:highlight w:val="none"/>
          <w:lang w:val="en-US" w:eastAsia="zh-CN"/>
          <w14:textOutline w14:w="4358" w14:cap="sq" w14:cmpd="sng">
            <w14:solidFill>
              <w14:srgbClr w14:val="000000"/>
            </w14:solidFill>
            <w14:prstDash w14:val="solid"/>
            <w14:bevel/>
          </w14:textOutline>
        </w:rPr>
        <w:t>部分</w:t>
      </w:r>
      <w:r>
        <w:rPr>
          <w:rFonts w:hint="eastAsia" w:ascii="仿宋" w:hAnsi="仿宋" w:eastAsia="仿宋" w:cs="仿宋"/>
          <w:color w:val="auto"/>
          <w:sz w:val="36"/>
          <w:szCs w:val="36"/>
          <w:highlight w:val="none"/>
          <w14:textOutline w14:w="4358" w14:cap="sq" w14:cmpd="sng">
            <w14:solidFill>
              <w14:srgbClr w14:val="000000"/>
            </w14:solidFill>
            <w14:prstDash w14:val="solid"/>
            <w14:bevel/>
          </w14:textOutline>
        </w:rPr>
        <w:t xml:space="preserve"> 征集公告</w:t>
      </w:r>
    </w:p>
    <w:p w14:paraId="06762EFE">
      <w:pPr>
        <w:jc w:val="center"/>
        <w:rPr>
          <w:rFonts w:hint="eastAsia" w:ascii="仿宋" w:hAnsi="仿宋" w:eastAsia="仿宋" w:cs="仿宋"/>
          <w:color w:val="auto"/>
          <w:sz w:val="36"/>
          <w:szCs w:val="36"/>
          <w:highlight w:val="none"/>
          <w:lang w:val="en-US" w:eastAsia="zh-CN"/>
          <w14:textOutline w14:w="4358" w14:cap="sq" w14:cmpd="sng">
            <w14:solidFill>
              <w14:srgbClr w14:val="000000"/>
            </w14:solidFill>
            <w14:prstDash w14:val="solid"/>
            <w14:bevel/>
          </w14:textOutline>
        </w:rPr>
      </w:pPr>
    </w:p>
    <w:p w14:paraId="2371F84A">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0"/>
          <w:szCs w:val="40"/>
          <w:highlight w:val="none"/>
          <w:lang w:val="en-US" w:eastAsia="zh-CN"/>
        </w:rPr>
        <w:t>2026年危旧房屋和城中村改造房地产测绘评估等服务事项实施框架协议采购项目征集公告</w:t>
      </w:r>
    </w:p>
    <w:p w14:paraId="4669765C">
      <w:pPr>
        <w:pStyle w:val="4"/>
        <w:spacing w:line="301" w:lineRule="auto"/>
        <w:rPr>
          <w:rFonts w:hint="eastAsia" w:ascii="仿宋" w:hAnsi="仿宋" w:eastAsia="仿宋" w:cs="仿宋"/>
          <w:color w:val="auto"/>
          <w:sz w:val="24"/>
          <w:szCs w:val="24"/>
          <w:highlight w:val="none"/>
        </w:rPr>
      </w:pPr>
    </w:p>
    <w:p w14:paraId="5AC3F0BD">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一、征集人信息</w:t>
      </w:r>
    </w:p>
    <w:p w14:paraId="530C9AED">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征集人名称：阿图什市住房和城乡建设局（阿图什市国有土地上房屋征收与补偿管理办公室）</w:t>
      </w:r>
    </w:p>
    <w:p w14:paraId="01F3BEC6">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征集人地址：</w:t>
      </w:r>
      <w:r>
        <w:rPr>
          <w:rFonts w:hint="eastAsia" w:ascii="仿宋" w:hAnsi="仿宋" w:eastAsia="仿宋" w:cs="仿宋"/>
          <w:color w:val="auto"/>
          <w:sz w:val="24"/>
          <w:szCs w:val="24"/>
          <w:highlight w:val="none"/>
          <w:lang w:eastAsia="zh-CN"/>
        </w:rPr>
        <w:t>阿图什市松他克南路22号院</w:t>
      </w:r>
    </w:p>
    <w:p w14:paraId="1F40F4DE">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征集人联系人：徐</w:t>
      </w:r>
      <w:r>
        <w:rPr>
          <w:rFonts w:hint="eastAsia" w:ascii="仿宋" w:hAnsi="仿宋" w:eastAsia="仿宋" w:cs="仿宋"/>
          <w:color w:val="auto"/>
          <w:sz w:val="24"/>
          <w:szCs w:val="24"/>
          <w:highlight w:val="none"/>
          <w:lang w:val="en-US" w:eastAsia="zh-CN"/>
        </w:rPr>
        <w:t>先生</w:t>
      </w:r>
    </w:p>
    <w:p w14:paraId="2C34274B">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征集人联系方式：18209089665</w:t>
      </w:r>
    </w:p>
    <w:p w14:paraId="51EB19FA">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二、采购项目信息</w:t>
      </w:r>
    </w:p>
    <w:p w14:paraId="23D7B229">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2026年危旧房屋和城中村改造房地产测绘评估等服务事项实施框架协议采购项目</w:t>
      </w:r>
    </w:p>
    <w:p w14:paraId="60B90D39">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项目编号：ATSJYZX-CG（KJ)-2026032</w:t>
      </w:r>
    </w:p>
    <w:p w14:paraId="3059F7D4">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适用采购人或者服务对象范围：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指定采购单位</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阿图什市住房和城乡建设局</w:t>
      </w:r>
    </w:p>
    <w:p w14:paraId="15811B53">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tbl>
      <w:tblPr>
        <w:tblStyle w:val="16"/>
        <w:tblW w:w="4646" w:type="pct"/>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0" w:type="dxa"/>
          <w:bottom w:w="15" w:type="dxa"/>
          <w:right w:w="15" w:type="dxa"/>
        </w:tblCellMar>
      </w:tblPr>
      <w:tblGrid>
        <w:gridCol w:w="1154"/>
        <w:gridCol w:w="4461"/>
        <w:gridCol w:w="1515"/>
        <w:gridCol w:w="2003"/>
      </w:tblGrid>
      <w:tr w14:paraId="1B43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773" w:hRule="atLeast"/>
        </w:trPr>
        <w:tc>
          <w:tcPr>
            <w:tcW w:w="632" w:type="pct"/>
            <w:shd w:val="clear" w:color="auto" w:fill="auto"/>
            <w:noWrap w:val="0"/>
            <w:tcMar>
              <w:top w:w="96" w:type="dxa"/>
              <w:left w:w="96" w:type="dxa"/>
              <w:bottom w:w="96" w:type="dxa"/>
              <w:right w:w="96" w:type="dxa"/>
            </w:tcMar>
            <w:vAlign w:val="center"/>
          </w:tcPr>
          <w:p w14:paraId="30ED730B">
            <w:pPr>
              <w:pStyle w:val="4"/>
              <w:spacing w:line="30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序号</w:t>
            </w:r>
          </w:p>
        </w:tc>
        <w:tc>
          <w:tcPr>
            <w:tcW w:w="2441" w:type="pct"/>
            <w:shd w:val="clear" w:color="auto" w:fill="auto"/>
            <w:noWrap w:val="0"/>
            <w:tcMar>
              <w:top w:w="96" w:type="dxa"/>
              <w:left w:w="96" w:type="dxa"/>
              <w:bottom w:w="96" w:type="dxa"/>
              <w:right w:w="96" w:type="dxa"/>
            </w:tcMar>
            <w:vAlign w:val="center"/>
          </w:tcPr>
          <w:p w14:paraId="253B8AB5">
            <w:pPr>
              <w:pStyle w:val="4"/>
              <w:spacing w:line="30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采购需求</w:t>
            </w:r>
          </w:p>
        </w:tc>
        <w:tc>
          <w:tcPr>
            <w:tcW w:w="829" w:type="pct"/>
            <w:shd w:val="clear" w:color="auto" w:fill="auto"/>
            <w:noWrap w:val="0"/>
            <w:tcMar>
              <w:top w:w="96" w:type="dxa"/>
              <w:left w:w="96" w:type="dxa"/>
              <w:bottom w:w="96" w:type="dxa"/>
              <w:right w:w="96" w:type="dxa"/>
            </w:tcMar>
            <w:vAlign w:val="center"/>
          </w:tcPr>
          <w:p w14:paraId="5C42B904">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最高限制</w:t>
            </w:r>
          </w:p>
          <w:p w14:paraId="730E93B8">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单价</w:t>
            </w:r>
          </w:p>
        </w:tc>
        <w:tc>
          <w:tcPr>
            <w:tcW w:w="1096" w:type="pct"/>
            <w:shd w:val="clear" w:color="auto" w:fill="auto"/>
            <w:noWrap w:val="0"/>
            <w:tcMar>
              <w:top w:w="96" w:type="dxa"/>
              <w:left w:w="96" w:type="dxa"/>
              <w:bottom w:w="96" w:type="dxa"/>
              <w:right w:w="96" w:type="dxa"/>
            </w:tcMar>
            <w:vAlign w:val="center"/>
          </w:tcPr>
          <w:p w14:paraId="5F61388E">
            <w:pPr>
              <w:pStyle w:val="4"/>
              <w:spacing w:line="30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预估采购数量</w:t>
            </w:r>
          </w:p>
        </w:tc>
      </w:tr>
      <w:tr w14:paraId="3925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90" w:hRule="atLeast"/>
        </w:trPr>
        <w:tc>
          <w:tcPr>
            <w:tcW w:w="632" w:type="pct"/>
            <w:noWrap w:val="0"/>
            <w:tcMar>
              <w:top w:w="144" w:type="dxa"/>
              <w:left w:w="96" w:type="dxa"/>
              <w:bottom w:w="144" w:type="dxa"/>
              <w:right w:w="96" w:type="dxa"/>
            </w:tcMar>
            <w:vAlign w:val="center"/>
          </w:tcPr>
          <w:p w14:paraId="7690CCD0">
            <w:pPr>
              <w:pStyle w:val="4"/>
              <w:spacing w:line="30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标项1</w:t>
            </w:r>
          </w:p>
        </w:tc>
        <w:tc>
          <w:tcPr>
            <w:tcW w:w="2441" w:type="pct"/>
            <w:noWrap w:val="0"/>
            <w:tcMar>
              <w:top w:w="144" w:type="dxa"/>
              <w:left w:w="96" w:type="dxa"/>
              <w:bottom w:w="144" w:type="dxa"/>
              <w:right w:w="96" w:type="dxa"/>
            </w:tcMar>
            <w:vAlign w:val="center"/>
          </w:tcPr>
          <w:p w14:paraId="033F5B1E">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年阿图什市危旧房屋和棚户区改造</w:t>
            </w:r>
            <w:r>
              <w:rPr>
                <w:rFonts w:hint="eastAsia" w:ascii="仿宋" w:hAnsi="仿宋" w:eastAsia="仿宋" w:cs="仿宋"/>
                <w:color w:val="auto"/>
                <w:sz w:val="21"/>
                <w:szCs w:val="21"/>
                <w:highlight w:val="none"/>
                <w:lang w:val="en-US" w:eastAsia="zh-CN"/>
              </w:rPr>
              <w:t>房产土地</w:t>
            </w:r>
            <w:r>
              <w:rPr>
                <w:rFonts w:hint="eastAsia" w:ascii="仿宋" w:hAnsi="仿宋" w:eastAsia="仿宋" w:cs="仿宋"/>
                <w:color w:val="auto"/>
                <w:sz w:val="21"/>
                <w:szCs w:val="21"/>
                <w:highlight w:val="none"/>
              </w:rPr>
              <w:t>测绘服务框架协议采购项目</w:t>
            </w:r>
          </w:p>
        </w:tc>
        <w:tc>
          <w:tcPr>
            <w:tcW w:w="829" w:type="pct"/>
            <w:shd w:val="clear" w:color="auto" w:fill="auto"/>
            <w:noWrap w:val="0"/>
            <w:tcMar>
              <w:top w:w="144" w:type="dxa"/>
              <w:left w:w="96" w:type="dxa"/>
              <w:bottom w:w="144" w:type="dxa"/>
              <w:right w:w="96" w:type="dxa"/>
            </w:tcMar>
            <w:vAlign w:val="center"/>
          </w:tcPr>
          <w:p w14:paraId="7EB9A028">
            <w:pPr>
              <w:pStyle w:val="4"/>
              <w:spacing w:line="301" w:lineRule="auto"/>
              <w:jc w:val="center"/>
              <w:rPr>
                <w:rFonts w:hint="default" w:ascii="仿宋" w:hAnsi="仿宋" w:eastAsia="仿宋" w:cs="仿宋"/>
                <w:snapToGrid w:val="0"/>
                <w:color w:val="auto"/>
                <w:kern w:val="0"/>
                <w:sz w:val="21"/>
                <w:szCs w:val="21"/>
                <w:highlight w:val="none"/>
                <w:lang w:val="en-US" w:eastAsia="zh-CN" w:bidi="ar-SA"/>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12F6E48F">
            <w:pPr>
              <w:pStyle w:val="4"/>
              <w:spacing w:line="301"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r>
      <w:tr w14:paraId="6F0C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90" w:hRule="atLeast"/>
        </w:trPr>
        <w:tc>
          <w:tcPr>
            <w:tcW w:w="632" w:type="pct"/>
            <w:noWrap w:val="0"/>
            <w:tcMar>
              <w:top w:w="144" w:type="dxa"/>
              <w:left w:w="96" w:type="dxa"/>
              <w:bottom w:w="144" w:type="dxa"/>
              <w:right w:w="96" w:type="dxa"/>
            </w:tcMar>
            <w:vAlign w:val="center"/>
          </w:tcPr>
          <w:p w14:paraId="433B2E2B">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标项2</w:t>
            </w:r>
          </w:p>
        </w:tc>
        <w:tc>
          <w:tcPr>
            <w:tcW w:w="2441" w:type="pct"/>
            <w:noWrap w:val="0"/>
            <w:tcMar>
              <w:top w:w="144" w:type="dxa"/>
              <w:left w:w="96" w:type="dxa"/>
              <w:bottom w:w="144" w:type="dxa"/>
              <w:right w:w="96" w:type="dxa"/>
            </w:tcMar>
            <w:vAlign w:val="center"/>
          </w:tcPr>
          <w:p w14:paraId="3AB2A8BA">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2026年阿图什市危旧房屋和棚户区改造设备评估服务框架协议采购项目</w:t>
            </w:r>
          </w:p>
        </w:tc>
        <w:tc>
          <w:tcPr>
            <w:tcW w:w="829" w:type="pct"/>
            <w:shd w:val="clear" w:color="auto" w:fill="auto"/>
            <w:noWrap w:val="0"/>
            <w:tcMar>
              <w:top w:w="144" w:type="dxa"/>
              <w:left w:w="96" w:type="dxa"/>
              <w:bottom w:w="144" w:type="dxa"/>
              <w:right w:w="96" w:type="dxa"/>
            </w:tcMar>
            <w:vAlign w:val="center"/>
          </w:tcPr>
          <w:p w14:paraId="57736DA9">
            <w:pPr>
              <w:pStyle w:val="4"/>
              <w:spacing w:line="301" w:lineRule="auto"/>
              <w:jc w:val="center"/>
              <w:rPr>
                <w:color w:val="auto"/>
                <w:highlight w:val="none"/>
                <w:lang w:val="en-US" w:eastAsia="zh-CN"/>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617E0085">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r>
      <w:tr w14:paraId="46C8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90" w:hRule="atLeast"/>
        </w:trPr>
        <w:tc>
          <w:tcPr>
            <w:tcW w:w="632" w:type="pct"/>
            <w:noWrap w:val="0"/>
            <w:tcMar>
              <w:top w:w="144" w:type="dxa"/>
              <w:left w:w="96" w:type="dxa"/>
              <w:bottom w:w="144" w:type="dxa"/>
              <w:right w:w="96" w:type="dxa"/>
            </w:tcMar>
            <w:vAlign w:val="center"/>
          </w:tcPr>
          <w:p w14:paraId="56E27439">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标项3</w:t>
            </w:r>
          </w:p>
        </w:tc>
        <w:tc>
          <w:tcPr>
            <w:tcW w:w="2441" w:type="pct"/>
            <w:noWrap w:val="0"/>
            <w:tcMar>
              <w:top w:w="144" w:type="dxa"/>
              <w:left w:w="96" w:type="dxa"/>
              <w:bottom w:w="144" w:type="dxa"/>
              <w:right w:w="96" w:type="dxa"/>
            </w:tcMar>
            <w:vAlign w:val="center"/>
          </w:tcPr>
          <w:p w14:paraId="6B1F510B">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2026年阿图什市危旧房屋和棚户区改造可回收资源评估服务框架协议采购项目</w:t>
            </w:r>
          </w:p>
        </w:tc>
        <w:tc>
          <w:tcPr>
            <w:tcW w:w="829" w:type="pct"/>
            <w:shd w:val="clear" w:color="auto" w:fill="auto"/>
            <w:noWrap w:val="0"/>
            <w:tcMar>
              <w:top w:w="144" w:type="dxa"/>
              <w:left w:w="96" w:type="dxa"/>
              <w:bottom w:w="144" w:type="dxa"/>
              <w:right w:w="96" w:type="dxa"/>
            </w:tcMar>
            <w:vAlign w:val="center"/>
          </w:tcPr>
          <w:p w14:paraId="0B9C6B23">
            <w:pPr>
              <w:pStyle w:val="4"/>
              <w:spacing w:line="301" w:lineRule="auto"/>
              <w:jc w:val="center"/>
              <w:rPr>
                <w:color w:val="auto"/>
                <w:highlight w:val="none"/>
                <w:lang w:val="en-US" w:eastAsia="zh-CN"/>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0410DF29">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r>
      <w:tr w14:paraId="6575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90" w:hRule="atLeast"/>
        </w:trPr>
        <w:tc>
          <w:tcPr>
            <w:tcW w:w="632" w:type="pct"/>
            <w:noWrap w:val="0"/>
            <w:tcMar>
              <w:top w:w="144" w:type="dxa"/>
              <w:left w:w="96" w:type="dxa"/>
              <w:bottom w:w="144" w:type="dxa"/>
              <w:right w:w="96" w:type="dxa"/>
            </w:tcMar>
            <w:vAlign w:val="center"/>
          </w:tcPr>
          <w:p w14:paraId="4827167B">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标项4</w:t>
            </w:r>
          </w:p>
        </w:tc>
        <w:tc>
          <w:tcPr>
            <w:tcW w:w="2441" w:type="pct"/>
            <w:noWrap w:val="0"/>
            <w:tcMar>
              <w:top w:w="144" w:type="dxa"/>
              <w:left w:w="96" w:type="dxa"/>
              <w:bottom w:w="144" w:type="dxa"/>
              <w:right w:w="96" w:type="dxa"/>
            </w:tcMar>
            <w:vAlign w:val="center"/>
          </w:tcPr>
          <w:p w14:paraId="2C6BDB9E">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2026年阿图什市危旧房屋和棚户区改造搬家转运服务框架协议采购项目</w:t>
            </w:r>
          </w:p>
        </w:tc>
        <w:tc>
          <w:tcPr>
            <w:tcW w:w="829" w:type="pct"/>
            <w:shd w:val="clear" w:color="auto" w:fill="auto"/>
            <w:noWrap w:val="0"/>
            <w:tcMar>
              <w:top w:w="144" w:type="dxa"/>
              <w:left w:w="96" w:type="dxa"/>
              <w:bottom w:w="144" w:type="dxa"/>
              <w:right w:w="96" w:type="dxa"/>
            </w:tcMar>
            <w:vAlign w:val="center"/>
          </w:tcPr>
          <w:p w14:paraId="4C9BDFAE">
            <w:pPr>
              <w:pStyle w:val="4"/>
              <w:spacing w:line="301" w:lineRule="auto"/>
              <w:jc w:val="center"/>
              <w:rPr>
                <w:color w:val="auto"/>
                <w:highlight w:val="none"/>
                <w:lang w:val="en-US" w:eastAsia="zh-CN"/>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00504D14">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r>
      <w:tr w14:paraId="3E33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90" w:hRule="atLeast"/>
        </w:trPr>
        <w:tc>
          <w:tcPr>
            <w:tcW w:w="632" w:type="pct"/>
            <w:noWrap w:val="0"/>
            <w:tcMar>
              <w:top w:w="144" w:type="dxa"/>
              <w:left w:w="96" w:type="dxa"/>
              <w:bottom w:w="144" w:type="dxa"/>
              <w:right w:w="96" w:type="dxa"/>
            </w:tcMar>
            <w:vAlign w:val="center"/>
          </w:tcPr>
          <w:p w14:paraId="0BD3853D">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标项5</w:t>
            </w:r>
          </w:p>
        </w:tc>
        <w:tc>
          <w:tcPr>
            <w:tcW w:w="2441" w:type="pct"/>
            <w:noWrap w:val="0"/>
            <w:tcMar>
              <w:top w:w="144" w:type="dxa"/>
              <w:left w:w="96" w:type="dxa"/>
              <w:bottom w:w="144" w:type="dxa"/>
              <w:right w:w="96" w:type="dxa"/>
            </w:tcMar>
            <w:vAlign w:val="center"/>
          </w:tcPr>
          <w:p w14:paraId="13A28C5E">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2026年阿图什市危旧房屋和棚户区改造资产公证服务框架协议采购项目</w:t>
            </w:r>
          </w:p>
        </w:tc>
        <w:tc>
          <w:tcPr>
            <w:tcW w:w="829" w:type="pct"/>
            <w:shd w:val="clear" w:color="auto" w:fill="auto"/>
            <w:noWrap w:val="0"/>
            <w:tcMar>
              <w:top w:w="144" w:type="dxa"/>
              <w:left w:w="96" w:type="dxa"/>
              <w:bottom w:w="144" w:type="dxa"/>
              <w:right w:w="96" w:type="dxa"/>
            </w:tcMar>
            <w:vAlign w:val="center"/>
          </w:tcPr>
          <w:p w14:paraId="0C779815">
            <w:pPr>
              <w:pStyle w:val="4"/>
              <w:spacing w:line="301" w:lineRule="auto"/>
              <w:jc w:val="center"/>
              <w:rPr>
                <w:color w:val="auto"/>
                <w:highlight w:val="none"/>
                <w:lang w:val="en-US" w:eastAsia="zh-CN"/>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74EDB757">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r>
      <w:tr w14:paraId="4010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575" w:hRule="atLeast"/>
        </w:trPr>
        <w:tc>
          <w:tcPr>
            <w:tcW w:w="632" w:type="pct"/>
            <w:noWrap w:val="0"/>
            <w:tcMar>
              <w:top w:w="144" w:type="dxa"/>
              <w:left w:w="96" w:type="dxa"/>
              <w:bottom w:w="144" w:type="dxa"/>
              <w:right w:w="96" w:type="dxa"/>
            </w:tcMar>
            <w:vAlign w:val="center"/>
          </w:tcPr>
          <w:p w14:paraId="067DCDF9">
            <w:pPr>
              <w:pStyle w:val="4"/>
              <w:spacing w:line="301"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标项6</w:t>
            </w:r>
          </w:p>
        </w:tc>
        <w:tc>
          <w:tcPr>
            <w:tcW w:w="2441" w:type="pct"/>
            <w:noWrap w:val="0"/>
            <w:tcMar>
              <w:top w:w="144" w:type="dxa"/>
              <w:left w:w="96" w:type="dxa"/>
              <w:bottom w:w="144" w:type="dxa"/>
              <w:right w:w="96" w:type="dxa"/>
            </w:tcMar>
            <w:vAlign w:val="center"/>
          </w:tcPr>
          <w:p w14:paraId="5C7E5B1A">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年阿图什市危旧房屋和棚户区改</w:t>
            </w:r>
            <w:r>
              <w:rPr>
                <w:rFonts w:hint="eastAsia" w:ascii="仿宋" w:hAnsi="仿宋" w:eastAsia="仿宋" w:cs="仿宋"/>
                <w:color w:val="auto"/>
                <w:sz w:val="21"/>
                <w:szCs w:val="21"/>
                <w:highlight w:val="none"/>
                <w:lang w:val="en-US" w:eastAsia="zh-CN"/>
              </w:rPr>
              <w:t>造</w:t>
            </w:r>
            <w:r>
              <w:rPr>
                <w:rFonts w:hint="eastAsia" w:ascii="仿宋" w:hAnsi="仿宋" w:eastAsia="仿宋" w:cs="仿宋"/>
                <w:color w:val="auto"/>
                <w:sz w:val="21"/>
                <w:szCs w:val="21"/>
                <w:highlight w:val="none"/>
              </w:rPr>
              <w:t>垃圾清运服务框架协议采购项目</w:t>
            </w:r>
          </w:p>
        </w:tc>
        <w:tc>
          <w:tcPr>
            <w:tcW w:w="829" w:type="pct"/>
            <w:shd w:val="clear" w:color="auto" w:fill="auto"/>
            <w:noWrap w:val="0"/>
            <w:tcMar>
              <w:top w:w="144" w:type="dxa"/>
              <w:left w:w="96" w:type="dxa"/>
              <w:bottom w:w="144" w:type="dxa"/>
              <w:right w:w="96" w:type="dxa"/>
            </w:tcMar>
            <w:vAlign w:val="center"/>
          </w:tcPr>
          <w:p w14:paraId="0536780A">
            <w:pPr>
              <w:pStyle w:val="4"/>
              <w:spacing w:line="301" w:lineRule="auto"/>
              <w:jc w:val="center"/>
              <w:rPr>
                <w:rFonts w:hint="eastAsia" w:ascii="仿宋" w:hAnsi="仿宋" w:eastAsia="仿宋" w:cs="仿宋"/>
                <w:snapToGrid w:val="0"/>
                <w:color w:val="auto"/>
                <w:kern w:val="0"/>
                <w:sz w:val="21"/>
                <w:szCs w:val="21"/>
                <w:highlight w:val="none"/>
                <w:lang w:val="en-US" w:eastAsia="en-US" w:bidi="ar-SA"/>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50EC3D6E">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r>
      <w:tr w14:paraId="36A0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568" w:hRule="atLeast"/>
        </w:trPr>
        <w:tc>
          <w:tcPr>
            <w:tcW w:w="632" w:type="pct"/>
            <w:noWrap w:val="0"/>
            <w:tcMar>
              <w:top w:w="144" w:type="dxa"/>
              <w:left w:w="96" w:type="dxa"/>
              <w:bottom w:w="144" w:type="dxa"/>
              <w:right w:w="96" w:type="dxa"/>
            </w:tcMar>
            <w:vAlign w:val="center"/>
          </w:tcPr>
          <w:p w14:paraId="4559624A">
            <w:pPr>
              <w:pStyle w:val="4"/>
              <w:spacing w:line="30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标项7</w:t>
            </w:r>
          </w:p>
        </w:tc>
        <w:tc>
          <w:tcPr>
            <w:tcW w:w="2441" w:type="pct"/>
            <w:noWrap w:val="0"/>
            <w:tcMar>
              <w:top w:w="144" w:type="dxa"/>
              <w:left w:w="96" w:type="dxa"/>
              <w:bottom w:w="144" w:type="dxa"/>
              <w:right w:w="96" w:type="dxa"/>
            </w:tcMar>
            <w:vAlign w:val="center"/>
          </w:tcPr>
          <w:p w14:paraId="66039275">
            <w:pPr>
              <w:keepNext w:val="0"/>
              <w:keepLines w:val="0"/>
              <w:widowControl/>
              <w:suppressLineNumbers w:val="0"/>
              <w:jc w:val="center"/>
              <w:textAlignment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年阿图什市危旧房屋和棚户区</w:t>
            </w:r>
            <w:r>
              <w:rPr>
                <w:rFonts w:hint="eastAsia" w:ascii="仿宋" w:hAnsi="仿宋" w:eastAsia="仿宋" w:cs="仿宋"/>
                <w:color w:val="auto"/>
                <w:sz w:val="21"/>
                <w:szCs w:val="21"/>
                <w:highlight w:val="none"/>
                <w:lang w:val="en-US" w:eastAsia="zh-CN"/>
              </w:rPr>
              <w:t>改造</w:t>
            </w:r>
            <w:r>
              <w:rPr>
                <w:rFonts w:hint="eastAsia" w:ascii="仿宋" w:hAnsi="仿宋" w:eastAsia="仿宋" w:cs="仿宋"/>
                <w:color w:val="auto"/>
                <w:sz w:val="21"/>
                <w:szCs w:val="21"/>
                <w:highlight w:val="none"/>
              </w:rPr>
              <w:t>围挡使用服务框架协议采购项目</w:t>
            </w:r>
          </w:p>
        </w:tc>
        <w:tc>
          <w:tcPr>
            <w:tcW w:w="829" w:type="pct"/>
            <w:noWrap w:val="0"/>
            <w:tcMar>
              <w:top w:w="144" w:type="dxa"/>
              <w:left w:w="96" w:type="dxa"/>
              <w:bottom w:w="144" w:type="dxa"/>
              <w:right w:w="96" w:type="dxa"/>
            </w:tcMar>
            <w:vAlign w:val="center"/>
          </w:tcPr>
          <w:p w14:paraId="1DB2F334">
            <w:pPr>
              <w:pStyle w:val="4"/>
              <w:spacing w:line="301" w:lineRule="auto"/>
              <w:jc w:val="center"/>
              <w:rPr>
                <w:rFonts w:hint="eastAsia" w:ascii="仿宋" w:hAnsi="仿宋" w:eastAsia="仿宋" w:cs="仿宋"/>
                <w:color w:val="auto"/>
                <w:sz w:val="21"/>
                <w:szCs w:val="21"/>
                <w:highlight w:val="none"/>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504B1221">
            <w:pPr>
              <w:pStyle w:val="4"/>
              <w:spacing w:line="301" w:lineRule="auto"/>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3</w:t>
            </w:r>
          </w:p>
        </w:tc>
      </w:tr>
      <w:tr w14:paraId="7F5C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542" w:hRule="atLeast"/>
        </w:trPr>
        <w:tc>
          <w:tcPr>
            <w:tcW w:w="632" w:type="pct"/>
            <w:noWrap w:val="0"/>
            <w:tcMar>
              <w:top w:w="144" w:type="dxa"/>
              <w:left w:w="96" w:type="dxa"/>
              <w:bottom w:w="144" w:type="dxa"/>
              <w:right w:w="96" w:type="dxa"/>
            </w:tcMar>
            <w:vAlign w:val="center"/>
          </w:tcPr>
          <w:p w14:paraId="50935624">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标项8</w:t>
            </w:r>
          </w:p>
        </w:tc>
        <w:tc>
          <w:tcPr>
            <w:tcW w:w="2441" w:type="pct"/>
            <w:noWrap w:val="0"/>
            <w:tcMar>
              <w:top w:w="144" w:type="dxa"/>
              <w:left w:w="96" w:type="dxa"/>
              <w:bottom w:w="144" w:type="dxa"/>
              <w:right w:w="96" w:type="dxa"/>
            </w:tcMar>
            <w:vAlign w:val="center"/>
          </w:tcPr>
          <w:p w14:paraId="34A5A09D">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2026年阿图什市危旧房屋和棚户区改造跟踪审计服务框架协议采购项目</w:t>
            </w:r>
          </w:p>
        </w:tc>
        <w:tc>
          <w:tcPr>
            <w:tcW w:w="829" w:type="pct"/>
            <w:noWrap w:val="0"/>
            <w:tcMar>
              <w:top w:w="144" w:type="dxa"/>
              <w:left w:w="96" w:type="dxa"/>
              <w:bottom w:w="144" w:type="dxa"/>
              <w:right w:w="96" w:type="dxa"/>
            </w:tcMar>
            <w:vAlign w:val="center"/>
          </w:tcPr>
          <w:p w14:paraId="44CDD058">
            <w:pPr>
              <w:spacing w:line="301" w:lineRule="auto"/>
              <w:jc w:val="center"/>
              <w:rPr>
                <w:rFonts w:hint="eastAsia" w:ascii="仿宋" w:hAnsi="仿宋" w:eastAsia="仿宋" w:cs="仿宋"/>
                <w:color w:val="auto"/>
                <w:sz w:val="21"/>
                <w:szCs w:val="21"/>
                <w:highlight w:val="none"/>
                <w:lang w:val="en-US" w:eastAsia="zh-CN"/>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177D7492">
            <w:pPr>
              <w:pStyle w:val="4"/>
              <w:spacing w:line="301" w:lineRule="auto"/>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10</w:t>
            </w:r>
          </w:p>
        </w:tc>
      </w:tr>
      <w:tr w14:paraId="251A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600" w:hRule="atLeast"/>
        </w:trPr>
        <w:tc>
          <w:tcPr>
            <w:tcW w:w="632" w:type="pct"/>
            <w:noWrap w:val="0"/>
            <w:tcMar>
              <w:top w:w="144" w:type="dxa"/>
              <w:left w:w="96" w:type="dxa"/>
              <w:bottom w:w="144" w:type="dxa"/>
              <w:right w:w="96" w:type="dxa"/>
            </w:tcMar>
            <w:vAlign w:val="center"/>
          </w:tcPr>
          <w:p w14:paraId="31CFDED3">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标项9</w:t>
            </w:r>
          </w:p>
        </w:tc>
        <w:tc>
          <w:tcPr>
            <w:tcW w:w="2441" w:type="pct"/>
            <w:noWrap w:val="0"/>
            <w:tcMar>
              <w:top w:w="144" w:type="dxa"/>
              <w:left w:w="96" w:type="dxa"/>
              <w:bottom w:w="144" w:type="dxa"/>
              <w:right w:w="96" w:type="dxa"/>
            </w:tcMar>
            <w:vAlign w:val="center"/>
          </w:tcPr>
          <w:p w14:paraId="0C18AEF4">
            <w:pPr>
              <w:keepNext w:val="0"/>
              <w:keepLines w:val="0"/>
              <w:widowControl/>
              <w:suppressLineNumbers w:val="0"/>
              <w:jc w:val="center"/>
              <w:textAlignment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2026年阿图什市危旧房屋和棚户区改造房产土地和财产评估服务框架协议采购项目</w:t>
            </w:r>
          </w:p>
        </w:tc>
        <w:tc>
          <w:tcPr>
            <w:tcW w:w="829" w:type="pct"/>
            <w:noWrap w:val="0"/>
            <w:tcMar>
              <w:top w:w="144" w:type="dxa"/>
              <w:left w:w="96" w:type="dxa"/>
              <w:bottom w:w="144" w:type="dxa"/>
              <w:right w:w="96" w:type="dxa"/>
            </w:tcMar>
            <w:vAlign w:val="center"/>
          </w:tcPr>
          <w:p w14:paraId="282F5AC8">
            <w:pPr>
              <w:spacing w:line="301" w:lineRule="auto"/>
              <w:jc w:val="center"/>
              <w:rPr>
                <w:rFonts w:hint="eastAsia" w:ascii="仿宋" w:hAnsi="仿宋" w:eastAsia="仿宋" w:cs="仿宋"/>
                <w:color w:val="auto"/>
                <w:sz w:val="21"/>
                <w:szCs w:val="21"/>
                <w:highlight w:val="none"/>
                <w:lang w:val="en-US" w:eastAsia="zh-CN"/>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6C6DF173">
            <w:pPr>
              <w:pStyle w:val="4"/>
              <w:spacing w:line="301" w:lineRule="auto"/>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3</w:t>
            </w:r>
          </w:p>
        </w:tc>
      </w:tr>
      <w:tr w14:paraId="7279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765" w:hRule="atLeast"/>
        </w:trPr>
        <w:tc>
          <w:tcPr>
            <w:tcW w:w="632" w:type="pct"/>
            <w:noWrap w:val="0"/>
            <w:tcMar>
              <w:top w:w="144" w:type="dxa"/>
              <w:left w:w="96" w:type="dxa"/>
              <w:bottom w:w="144" w:type="dxa"/>
              <w:right w:w="96" w:type="dxa"/>
            </w:tcMar>
            <w:vAlign w:val="center"/>
          </w:tcPr>
          <w:p w14:paraId="15B3867F">
            <w:pPr>
              <w:pStyle w:val="4"/>
              <w:spacing w:line="301"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标项10</w:t>
            </w:r>
          </w:p>
        </w:tc>
        <w:tc>
          <w:tcPr>
            <w:tcW w:w="2441" w:type="pct"/>
            <w:noWrap w:val="0"/>
            <w:tcMar>
              <w:top w:w="144" w:type="dxa"/>
              <w:left w:w="96" w:type="dxa"/>
              <w:bottom w:w="144" w:type="dxa"/>
              <w:right w:w="96" w:type="dxa"/>
            </w:tcMar>
            <w:vAlign w:val="center"/>
          </w:tcPr>
          <w:p w14:paraId="329A5D4F">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2026年阿图什市危旧房屋和棚户区改造社会稳定评估服务框架协议采购项目</w:t>
            </w:r>
          </w:p>
        </w:tc>
        <w:tc>
          <w:tcPr>
            <w:tcW w:w="829" w:type="pct"/>
            <w:noWrap w:val="0"/>
            <w:tcMar>
              <w:top w:w="144" w:type="dxa"/>
              <w:left w:w="96" w:type="dxa"/>
              <w:bottom w:w="144" w:type="dxa"/>
              <w:right w:w="96" w:type="dxa"/>
            </w:tcMar>
            <w:vAlign w:val="center"/>
          </w:tcPr>
          <w:p w14:paraId="5DF5A047">
            <w:pPr>
              <w:spacing w:line="301" w:lineRule="auto"/>
              <w:jc w:val="center"/>
              <w:rPr>
                <w:rFonts w:hint="eastAsia" w:ascii="仿宋" w:hAnsi="仿宋" w:eastAsia="仿宋" w:cs="仿宋"/>
                <w:color w:val="auto"/>
                <w:sz w:val="21"/>
                <w:szCs w:val="21"/>
                <w:highlight w:val="none"/>
                <w:lang w:val="en-US" w:eastAsia="zh-CN"/>
              </w:rPr>
            </w:pPr>
            <w:r>
              <w:rPr>
                <w:color w:val="auto"/>
                <w:highlight w:val="none"/>
                <w:lang w:val="en-US" w:eastAsia="zh-CN"/>
              </w:rPr>
              <w:t>99%</w:t>
            </w:r>
          </w:p>
        </w:tc>
        <w:tc>
          <w:tcPr>
            <w:tcW w:w="1096" w:type="pct"/>
            <w:noWrap w:val="0"/>
            <w:tcMar>
              <w:top w:w="144" w:type="dxa"/>
              <w:left w:w="96" w:type="dxa"/>
              <w:bottom w:w="144" w:type="dxa"/>
              <w:right w:w="96" w:type="dxa"/>
            </w:tcMar>
            <w:vAlign w:val="center"/>
          </w:tcPr>
          <w:p w14:paraId="281BBB67">
            <w:pPr>
              <w:pStyle w:val="4"/>
              <w:spacing w:line="301" w:lineRule="auto"/>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6</w:t>
            </w:r>
          </w:p>
        </w:tc>
      </w:tr>
    </w:tbl>
    <w:p w14:paraId="2E5F9F0F">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三、供应商的资格条件</w:t>
      </w:r>
    </w:p>
    <w:p w14:paraId="41F05D76">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3C6A892E">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en-US"/>
        </w:rPr>
        <w:t>2.落实政府采购政策需满足的资格要求：标项1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en-US"/>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en-US"/>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en-US"/>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en-US"/>
        </w:rPr>
        <w:t>5</w:t>
      </w:r>
      <w:r>
        <w:rPr>
          <w:rFonts w:hint="eastAsia" w:ascii="仿宋" w:hAnsi="仿宋" w:eastAsia="仿宋" w:cs="仿宋"/>
          <w:color w:val="auto"/>
          <w:sz w:val="24"/>
          <w:szCs w:val="24"/>
          <w:highlight w:val="none"/>
          <w:lang w:val="en-US" w:eastAsia="zh-CN"/>
        </w:rPr>
        <w:t>、6、7、8、9、10，</w:t>
      </w:r>
      <w:r>
        <w:rPr>
          <w:rFonts w:hint="eastAsia" w:ascii="仿宋" w:hAnsi="仿宋" w:eastAsia="仿宋" w:cs="仿宋"/>
          <w:color w:val="auto"/>
          <w:sz w:val="24"/>
          <w:szCs w:val="24"/>
          <w:highlight w:val="none"/>
          <w:lang w:val="en-US" w:eastAsia="en-US"/>
        </w:rPr>
        <w:t>专门面向中小企业。</w:t>
      </w:r>
    </w:p>
    <w:p w14:paraId="4488B1A6">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【标项1】</w:t>
      </w:r>
    </w:p>
    <w:p w14:paraId="432E6D70">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1CB6474D">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4BBAFE46">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7D08FB3B">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220E1988">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5）投标企业须具备行政主管部门颁发的测绘乙级及以上资质证书</w:t>
      </w:r>
      <w:r>
        <w:rPr>
          <w:rFonts w:hint="eastAsia" w:ascii="仿宋" w:hAnsi="仿宋" w:eastAsia="仿宋" w:cs="仿宋"/>
          <w:color w:val="auto"/>
          <w:sz w:val="24"/>
          <w:szCs w:val="24"/>
          <w:highlight w:val="none"/>
          <w:lang w:eastAsia="zh-CN"/>
        </w:rPr>
        <w:t>。</w:t>
      </w:r>
    </w:p>
    <w:p w14:paraId="11520381">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p>
    <w:p w14:paraId="07FDA6C0">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3646EBF6">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1AEB8300">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09C48A59">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4C619A22">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w:t>
      </w:r>
    </w:p>
    <w:p w14:paraId="17AD9DF7">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0D575DFD">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22815638">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2BCACE1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5CE79F56">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p>
    <w:p w14:paraId="0E50D1AD">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3321A34C">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41568B17">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11A457A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4DF8F12E">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p>
    <w:p w14:paraId="74FD688A">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252E1F11">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577E8DD5">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561128D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756C40BF">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投标企业须</w:t>
      </w:r>
      <w:r>
        <w:rPr>
          <w:rFonts w:hint="eastAsia" w:ascii="仿宋" w:hAnsi="仿宋" w:eastAsia="仿宋" w:cs="仿宋"/>
          <w:color w:val="auto"/>
          <w:sz w:val="24"/>
          <w:szCs w:val="24"/>
          <w:highlight w:val="none"/>
          <w:lang w:val="en-US" w:eastAsia="zh-CN"/>
        </w:rPr>
        <w:t>具备</w:t>
      </w:r>
      <w:r>
        <w:rPr>
          <w:rFonts w:hint="eastAsia" w:ascii="仿宋" w:hAnsi="仿宋" w:eastAsia="仿宋" w:cs="仿宋"/>
          <w:color w:val="auto"/>
          <w:sz w:val="24"/>
          <w:szCs w:val="24"/>
          <w:highlight w:val="none"/>
        </w:rPr>
        <w:t>国家行政主管部门合法登记注册，并具备有效的公证机构执业证书</w:t>
      </w:r>
      <w:r>
        <w:rPr>
          <w:rFonts w:hint="eastAsia" w:ascii="仿宋" w:hAnsi="仿宋" w:eastAsia="仿宋" w:cs="仿宋"/>
          <w:color w:val="auto"/>
          <w:sz w:val="24"/>
          <w:szCs w:val="24"/>
          <w:highlight w:val="none"/>
          <w:lang w:val="en-US" w:eastAsia="zh-CN"/>
        </w:rPr>
        <w:t>。</w:t>
      </w:r>
    </w:p>
    <w:p w14:paraId="20213534">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p>
    <w:p w14:paraId="5D6B18FB">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0420782D">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1B03831F">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44B57F8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1CF445AD">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p>
    <w:p w14:paraId="5F72E630">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5085781C">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3C6B102D">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08E2D939">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04299104">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投标企业须</w:t>
      </w:r>
      <w:r>
        <w:rPr>
          <w:rFonts w:hint="eastAsia" w:ascii="仿宋" w:hAnsi="仿宋" w:eastAsia="仿宋" w:cs="仿宋"/>
          <w:color w:val="auto"/>
          <w:sz w:val="24"/>
          <w:szCs w:val="24"/>
          <w:highlight w:val="none"/>
          <w:lang w:val="en-US" w:eastAsia="zh-CN"/>
        </w:rPr>
        <w:t>具备[施工总承包·建筑工程·建筑工程二级](含)以上；施工项目负责人资质类别和等级：具有建筑工程专业二级注册建造师执业资格及有效的安全生产考核合格证书，且未担任其他在建建设工程项目的项目负责人，外省投标企业须提供《新疆维吾尔自治区区外建设工程企业信息登记册》或http://jsy.xjjs.gov.cn/下载审核通过的信息报送册。</w:t>
      </w:r>
    </w:p>
    <w:p w14:paraId="75A82796">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p>
    <w:p w14:paraId="47B54C13">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1EDF0A0E">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146F18B5">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7E5CC735">
      <w:pPr>
        <w:rPr>
          <w:rFonts w:hint="eastAsia"/>
          <w:b/>
          <w:bCs/>
          <w:color w:val="auto"/>
          <w:highlight w:val="none"/>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58898B3E">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投标企业</w:t>
      </w:r>
      <w:r>
        <w:rPr>
          <w:rFonts w:hint="eastAsia" w:ascii="仿宋" w:hAnsi="仿宋" w:eastAsia="仿宋" w:cs="仿宋"/>
          <w:color w:val="auto"/>
          <w:sz w:val="24"/>
          <w:szCs w:val="24"/>
          <w:highlight w:val="none"/>
          <w:lang w:val="en-US" w:eastAsia="zh-CN"/>
        </w:rPr>
        <w:t>项目负责人须具备在本单位注册的土木建筑工程专业一级注册造价师。</w:t>
      </w:r>
    </w:p>
    <w:p w14:paraId="335E5BC6">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p>
    <w:p w14:paraId="1849BE80">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670579DF">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6A4B31F0">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03C67A27">
      <w:pPr>
        <w:rPr>
          <w:rFonts w:hint="eastAsia"/>
          <w:color w:val="auto"/>
          <w:highlight w:val="none"/>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6106CDEF">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5）投标企业须具备国家许可和备案的(房地产估价机构备案证书)三级(含三级)及以上资质；拟任项目负责人具有房地产估价师资格。</w:t>
      </w:r>
    </w:p>
    <w:p w14:paraId="30BD4D93">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p>
    <w:p w14:paraId="36613F30">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1）具备三证合一营业执照副本； </w:t>
      </w:r>
    </w:p>
    <w:p w14:paraId="5C91C967">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2）法定代表人投标需提供法定代表人资格证明书，委托代理人投标需提供法定代表人授权委托书； </w:t>
      </w:r>
    </w:p>
    <w:p w14:paraId="026741A6">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3）投标企业须提供投标人（被授权在职人员）近6个月内任意1个月社保证明； </w:t>
      </w:r>
    </w:p>
    <w:p w14:paraId="4E9F5ECE">
      <w:pPr>
        <w:rPr>
          <w:rFonts w:hint="eastAsia"/>
          <w:color w:val="auto"/>
          <w:highlight w:val="none"/>
          <w:lang w:val="en-US" w:eastAsia="zh-CN"/>
        </w:rPr>
      </w:pPr>
      <w:r>
        <w:rPr>
          <w:rFonts w:hint="eastAsia" w:ascii="仿宋" w:hAnsi="仿宋" w:eastAsia="仿宋" w:cs="仿宋"/>
          <w:color w:val="auto"/>
          <w:sz w:val="24"/>
          <w:szCs w:val="24"/>
          <w:highlight w:val="none"/>
        </w:rPr>
        <w:t>4）未被列入信用中国网（www.creditchina.gov.cn）及中国政府采购网(www.ccgp.gov.cn）失信被执行人名单、重大税收违法失信主体、政府采购严重违法失信行为记录名单；</w:t>
      </w:r>
    </w:p>
    <w:p w14:paraId="571CC803">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四、框架协议的期限</w:t>
      </w:r>
    </w:p>
    <w:p w14:paraId="68C8AAD6">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22  </w:t>
      </w:r>
      <w:r>
        <w:rPr>
          <w:rFonts w:hint="eastAsia" w:ascii="仿宋" w:hAnsi="仿宋" w:eastAsia="仿宋" w:cs="仿宋"/>
          <w:color w:val="auto"/>
          <w:sz w:val="24"/>
          <w:szCs w:val="24"/>
          <w:highlight w:val="none"/>
        </w:rPr>
        <w:t>00:00:00 至 202</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 xml:space="preserve">21  </w:t>
      </w:r>
      <w:r>
        <w:rPr>
          <w:rFonts w:hint="eastAsia" w:ascii="仿宋" w:hAnsi="仿宋" w:eastAsia="仿宋" w:cs="仿宋"/>
          <w:color w:val="auto"/>
          <w:sz w:val="24"/>
          <w:szCs w:val="24"/>
          <w:highlight w:val="none"/>
        </w:rPr>
        <w:t>00:00:00</w:t>
      </w:r>
    </w:p>
    <w:p w14:paraId="044F805C">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五、获取征集文件的时间、地点和方式</w:t>
      </w:r>
    </w:p>
    <w:p w14:paraId="68B17A1D">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      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日 ，每天上午10:00至14:00 ，下午16:00至19:30（北京时间，法定节假日除外）</w:t>
      </w:r>
    </w:p>
    <w:p w14:paraId="616CBA8E">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点：政采云平台线上获取</w:t>
      </w:r>
    </w:p>
    <w:p w14:paraId="0B8FBF89">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      式：供应商登录政采云平台https://www.zcygov.cn/在线申请获取征集文件（进入“框架协议”应用，在获取征集文件菜单中选择项目，申请获取征集文件），或者点击征集公告底部，潜在供应商后的“获取采购文件”，页面跳转后登陆供应商身份账号，直接获取征集文件。</w:t>
      </w:r>
    </w:p>
    <w:p w14:paraId="2C2B1775">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六、响应文件的提交方式、提交截止时间和地点，开启方式、时间和地点</w:t>
      </w:r>
    </w:p>
    <w:p w14:paraId="488F9A60">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响应文件提交截止时间：202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日 10:</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（北京时间）</w:t>
      </w:r>
    </w:p>
    <w:p w14:paraId="28FC7381">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响应文件提交地点（网址）：请登录政采云投标客户端投标</w:t>
      </w:r>
    </w:p>
    <w:p w14:paraId="12656AF9">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响应文件开启时间：202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日 10:</w:t>
      </w:r>
      <w:r>
        <w:rPr>
          <w:rFonts w:hint="eastAsia" w:ascii="仿宋" w:hAnsi="仿宋" w:eastAsia="仿宋" w:cs="仿宋"/>
          <w:color w:val="auto"/>
          <w:sz w:val="24"/>
          <w:szCs w:val="24"/>
          <w:highlight w:val="none"/>
          <w:lang w:val="en-US" w:eastAsia="zh-CN"/>
        </w:rPr>
        <w:t>10</w:t>
      </w:r>
    </w:p>
    <w:p w14:paraId="77C06A2A">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响应文件开启地点：政府采购云平台（www.zcygov.cn）</w:t>
      </w:r>
    </w:p>
    <w:p w14:paraId="06045386">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七、公告期限</w:t>
      </w:r>
    </w:p>
    <w:p w14:paraId="6BB84A29">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5E188523">
      <w:pPr>
        <w:pStyle w:val="4"/>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八、省级以上财政部门规定的其他事项</w:t>
      </w:r>
    </w:p>
    <w:p w14:paraId="7C184DD5">
      <w:pPr>
        <w:pStyle w:val="4"/>
        <w:spacing w:line="301"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1.本项目实行网上投标，采用电子投标文件(供应商须使用CA 加密设备通过新疆政采云电子投标客户端制作投标文件)。若供应商参与投标，自行承担投标一切费用。</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2.各供应商应在开标前应确保成为新疆政府采购网正式注册入库供应商，并完成 CA 数字证书申领。因未注册入库、未办理 CA 数字证书等原因造成无法投标或投标失败等后果由供应商自行承担。</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3.供应商将政采云电子交易客户端下载、安装完成后，可通过账号密码或 CA 登录客户端进行投标文件制作。在使用新疆政采云投标客户端时，建议使用WIN7+64 位及以上操作系统。</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4.供应商在开标时须使用制作加密电子投标文件所使用的 CA 锁及电脑，电脑须提前配置好浏览器 (建议使用 360 浏览器兼容版或谷歌浏览器) ，以便开标时解锁。</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5.供应商对不见面开评标系统的技术操作咨询，可通过https://edu.zcygov.cn/luban/xinjiang-e-biding 自助查询，也可在政采云帮助中心 常见问题解答和操作流程讲解视频中自助查询，网址为：https://service.zcygov.cn/， “项目采购”—“操作流程-电子招投标”—“政府采购项目电子交易管理操作指南-供 应商”版面获取操作指南，同时对自助查询无法解决的问题可通过钉钉群及政采云在线客服获取服务支持。供应商钉钉群号：政采云新疆供应商服务十群：33132402、十一群： 30213207 (如已加入 1-9 群，无需重复加入，十一个群联动直播) ，钉钉工具软件具有 回放功能，直播培训结束后可在钉钉群中回放观看学习。</w:t>
      </w:r>
    </w:p>
    <w:p w14:paraId="6ABE3A99">
      <w:pPr>
        <w:rPr>
          <w:rFonts w:hint="default"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rPr>
        <w:t>6.框架协议的期限：具体时间以每个标项签订合同为准。</w:t>
      </w:r>
    </w:p>
    <w:p w14:paraId="04533BBD">
      <w:pPr>
        <w:rPr>
          <w:rFonts w:hint="default" w:ascii="仿宋" w:hAnsi="仿宋" w:eastAsia="仿宋" w:cs="仿宋"/>
          <w:snapToGrid w:val="0"/>
          <w:color w:val="auto"/>
          <w:kern w:val="0"/>
          <w:sz w:val="24"/>
          <w:szCs w:val="24"/>
          <w:highlight w:val="none"/>
          <w:lang w:val="en-US" w:eastAsia="zh-CN" w:bidi="ar-SA"/>
        </w:rPr>
      </w:pPr>
    </w:p>
    <w:p w14:paraId="5A8E2BDE">
      <w:pPr>
        <w:rPr>
          <w:rFonts w:hint="default" w:ascii="仿宋" w:hAnsi="仿宋" w:eastAsia="仿宋" w:cs="仿宋"/>
          <w:snapToGrid w:val="0"/>
          <w:color w:val="auto"/>
          <w:kern w:val="0"/>
          <w:sz w:val="24"/>
          <w:szCs w:val="24"/>
          <w:highlight w:val="none"/>
          <w:lang w:val="en-US" w:eastAsia="zh-CN" w:bidi="ar-SA"/>
        </w:rPr>
      </w:pPr>
    </w:p>
    <w:p w14:paraId="7A001E72">
      <w:pPr>
        <w:rPr>
          <w:rFonts w:hint="default" w:ascii="仿宋" w:hAnsi="仿宋" w:eastAsia="仿宋" w:cs="仿宋"/>
          <w:snapToGrid w:val="0"/>
          <w:color w:val="auto"/>
          <w:kern w:val="0"/>
          <w:sz w:val="24"/>
          <w:szCs w:val="24"/>
          <w:highlight w:val="none"/>
          <w:lang w:val="en-US" w:eastAsia="zh-CN" w:bidi="ar-SA"/>
        </w:rPr>
      </w:pPr>
    </w:p>
    <w:p w14:paraId="69CE5137">
      <w:pPr>
        <w:rPr>
          <w:rFonts w:hint="default" w:ascii="仿宋" w:hAnsi="仿宋" w:eastAsia="仿宋" w:cs="仿宋"/>
          <w:snapToGrid w:val="0"/>
          <w:color w:val="auto"/>
          <w:kern w:val="0"/>
          <w:sz w:val="24"/>
          <w:szCs w:val="24"/>
          <w:highlight w:val="none"/>
          <w:lang w:val="en-US" w:eastAsia="zh-CN" w:bidi="ar-SA"/>
        </w:rPr>
      </w:pPr>
    </w:p>
    <w:p w14:paraId="656EEEE5">
      <w:pPr>
        <w:spacing w:before="163" w:line="389" w:lineRule="exact"/>
        <w:ind w:left="2977"/>
        <w:outlineLvl w:val="1"/>
        <w:rPr>
          <w:rFonts w:hint="eastAsia" w:ascii="仿宋" w:hAnsi="仿宋" w:eastAsia="仿宋" w:cs="仿宋"/>
          <w:b/>
          <w:bCs/>
          <w:color w:val="auto"/>
          <w:spacing w:val="-8"/>
          <w:w w:val="96"/>
          <w:position w:val="-2"/>
          <w:sz w:val="38"/>
          <w:szCs w:val="38"/>
          <w:highlight w:val="none"/>
        </w:rPr>
      </w:pPr>
    </w:p>
    <w:p w14:paraId="21A7AFBC">
      <w:pPr>
        <w:spacing w:before="163" w:line="389" w:lineRule="exact"/>
        <w:ind w:left="2977"/>
        <w:outlineLvl w:val="1"/>
        <w:rPr>
          <w:rFonts w:hint="eastAsia" w:ascii="仿宋" w:hAnsi="仿宋" w:eastAsia="仿宋" w:cs="仿宋"/>
          <w:b/>
          <w:bCs/>
          <w:color w:val="auto"/>
          <w:spacing w:val="-8"/>
          <w:w w:val="96"/>
          <w:position w:val="-2"/>
          <w:sz w:val="38"/>
          <w:szCs w:val="38"/>
          <w:highlight w:val="none"/>
        </w:rPr>
      </w:pPr>
    </w:p>
    <w:p w14:paraId="5D6D75ED">
      <w:pPr>
        <w:spacing w:before="163" w:line="389" w:lineRule="exact"/>
        <w:ind w:left="2977"/>
        <w:outlineLvl w:val="1"/>
        <w:rPr>
          <w:rFonts w:hint="eastAsia" w:ascii="仿宋" w:hAnsi="仿宋" w:eastAsia="仿宋" w:cs="仿宋"/>
          <w:b/>
          <w:bCs/>
          <w:color w:val="auto"/>
          <w:spacing w:val="-8"/>
          <w:w w:val="96"/>
          <w:position w:val="-2"/>
          <w:sz w:val="38"/>
          <w:szCs w:val="38"/>
          <w:highlight w:val="none"/>
        </w:rPr>
      </w:pPr>
    </w:p>
    <w:p w14:paraId="217416AD">
      <w:pPr>
        <w:spacing w:before="163" w:line="389" w:lineRule="exact"/>
        <w:ind w:left="2977"/>
        <w:outlineLvl w:val="1"/>
        <w:rPr>
          <w:rFonts w:hint="eastAsia" w:ascii="仿宋" w:hAnsi="仿宋" w:eastAsia="仿宋" w:cs="仿宋"/>
          <w:b/>
          <w:bCs/>
          <w:color w:val="auto"/>
          <w:spacing w:val="-8"/>
          <w:w w:val="96"/>
          <w:position w:val="-2"/>
          <w:sz w:val="38"/>
          <w:szCs w:val="38"/>
          <w:highlight w:val="none"/>
        </w:rPr>
      </w:pPr>
    </w:p>
    <w:p w14:paraId="1C2F547F">
      <w:pPr>
        <w:spacing w:before="163" w:line="389" w:lineRule="exact"/>
        <w:ind w:left="2977"/>
        <w:outlineLvl w:val="1"/>
        <w:rPr>
          <w:rFonts w:hint="eastAsia" w:ascii="仿宋" w:hAnsi="仿宋" w:eastAsia="仿宋" w:cs="仿宋"/>
          <w:b/>
          <w:bCs/>
          <w:color w:val="auto"/>
          <w:spacing w:val="-8"/>
          <w:w w:val="96"/>
          <w:position w:val="-2"/>
          <w:sz w:val="38"/>
          <w:szCs w:val="38"/>
          <w:highlight w:val="none"/>
        </w:rPr>
      </w:pPr>
    </w:p>
    <w:p w14:paraId="394FC97B">
      <w:pPr>
        <w:spacing w:before="163" w:line="389" w:lineRule="exact"/>
        <w:ind w:left="2977"/>
        <w:outlineLvl w:val="1"/>
        <w:rPr>
          <w:rFonts w:hint="eastAsia" w:ascii="仿宋" w:hAnsi="仿宋" w:eastAsia="仿宋" w:cs="仿宋"/>
          <w:b/>
          <w:bCs/>
          <w:color w:val="auto"/>
          <w:sz w:val="38"/>
          <w:szCs w:val="38"/>
          <w:highlight w:val="none"/>
        </w:rPr>
      </w:pPr>
      <w:r>
        <w:rPr>
          <w:rFonts w:hint="eastAsia" w:ascii="仿宋" w:hAnsi="仿宋" w:eastAsia="仿宋" w:cs="仿宋"/>
          <w:b/>
          <w:bCs/>
          <w:color w:val="auto"/>
          <w:spacing w:val="-8"/>
          <w:w w:val="96"/>
          <w:position w:val="-2"/>
          <w:sz w:val="38"/>
          <w:szCs w:val="38"/>
          <w:highlight w:val="none"/>
        </w:rPr>
        <w:t>第二部分</w:t>
      </w:r>
      <w:r>
        <w:rPr>
          <w:rFonts w:hint="eastAsia" w:ascii="仿宋" w:hAnsi="仿宋" w:eastAsia="仿宋" w:cs="仿宋"/>
          <w:b/>
          <w:bCs/>
          <w:color w:val="auto"/>
          <w:spacing w:val="44"/>
          <w:position w:val="-2"/>
          <w:sz w:val="38"/>
          <w:szCs w:val="38"/>
          <w:highlight w:val="none"/>
        </w:rPr>
        <w:t xml:space="preserve"> </w:t>
      </w:r>
      <w:r>
        <w:rPr>
          <w:rFonts w:hint="eastAsia" w:ascii="仿宋" w:hAnsi="仿宋" w:eastAsia="仿宋" w:cs="仿宋"/>
          <w:b/>
          <w:bCs/>
          <w:color w:val="auto"/>
          <w:spacing w:val="-8"/>
          <w:w w:val="96"/>
          <w:position w:val="-2"/>
          <w:sz w:val="38"/>
          <w:szCs w:val="38"/>
          <w:highlight w:val="none"/>
        </w:rPr>
        <w:t>供应商须知</w:t>
      </w:r>
    </w:p>
    <w:p w14:paraId="310E5CC7">
      <w:pPr>
        <w:spacing w:before="99" w:line="161" w:lineRule="auto"/>
        <w:ind w:left="3796"/>
        <w:rPr>
          <w:rFonts w:hint="eastAsia" w:ascii="仿宋" w:hAnsi="仿宋" w:eastAsia="仿宋" w:cs="仿宋"/>
          <w:color w:val="auto"/>
          <w:sz w:val="29"/>
          <w:szCs w:val="29"/>
          <w:highlight w:val="none"/>
        </w:rPr>
      </w:pPr>
    </w:p>
    <w:p w14:paraId="46313E54">
      <w:pPr>
        <w:spacing w:before="99" w:line="161" w:lineRule="auto"/>
        <w:ind w:left="3796"/>
        <w:rPr>
          <w:rFonts w:hint="eastAsia" w:ascii="仿宋" w:hAnsi="仿宋" w:eastAsia="仿宋" w:cs="仿宋"/>
          <w:color w:val="auto"/>
          <w:sz w:val="29"/>
          <w:szCs w:val="29"/>
          <w:highlight w:val="none"/>
        </w:rPr>
      </w:pPr>
      <w:r>
        <w:rPr>
          <w:rFonts w:hint="eastAsia" w:ascii="仿宋" w:hAnsi="仿宋" w:eastAsia="仿宋" w:cs="仿宋"/>
          <w:color w:val="auto"/>
          <w:sz w:val="29"/>
          <w:szCs w:val="29"/>
          <w:highlight w:val="none"/>
        </w:rPr>
        <w:t>供应商须知前附表</w:t>
      </w:r>
    </w:p>
    <w:p w14:paraId="5315DB5E">
      <w:pPr>
        <w:spacing w:line="135" w:lineRule="exact"/>
        <w:rPr>
          <w:rFonts w:hint="eastAsia" w:ascii="仿宋" w:hAnsi="仿宋" w:eastAsia="仿宋" w:cs="仿宋"/>
          <w:color w:val="auto"/>
          <w:sz w:val="24"/>
          <w:szCs w:val="24"/>
          <w:highlight w:val="none"/>
        </w:rPr>
      </w:pPr>
    </w:p>
    <w:tbl>
      <w:tblPr>
        <w:tblStyle w:val="20"/>
        <w:tblW w:w="1016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1970"/>
        <w:gridCol w:w="7189"/>
      </w:tblGrid>
      <w:tr w14:paraId="43603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009" w:type="dxa"/>
            <w:tcBorders>
              <w:top w:val="single" w:color="000000" w:sz="6" w:space="0"/>
              <w:bottom w:val="single" w:color="000000" w:sz="4" w:space="0"/>
            </w:tcBorders>
            <w:vAlign w:val="top"/>
          </w:tcPr>
          <w:p w14:paraId="1FBFE591">
            <w:pPr>
              <w:pStyle w:val="21"/>
              <w:spacing w:before="219" w:line="227" w:lineRule="auto"/>
              <w:ind w:left="157"/>
              <w:outlineLvl w:val="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条款号</w:t>
            </w:r>
          </w:p>
        </w:tc>
        <w:tc>
          <w:tcPr>
            <w:tcW w:w="1970" w:type="dxa"/>
            <w:tcBorders>
              <w:top w:val="single" w:color="000000" w:sz="6" w:space="0"/>
              <w:bottom w:val="single" w:color="000000" w:sz="4" w:space="0"/>
            </w:tcBorders>
            <w:vAlign w:val="top"/>
          </w:tcPr>
          <w:p w14:paraId="7066A87B">
            <w:pPr>
              <w:pStyle w:val="21"/>
              <w:spacing w:before="219" w:line="227" w:lineRule="auto"/>
              <w:ind w:left="761"/>
              <w:rPr>
                <w:rFonts w:hint="eastAsia" w:ascii="仿宋" w:hAnsi="仿宋" w:eastAsia="仿宋" w:cs="仿宋"/>
                <w:color w:val="auto"/>
                <w:sz w:val="24"/>
                <w:szCs w:val="24"/>
                <w:highlight w:val="none"/>
              </w:rPr>
            </w:pPr>
            <w:r>
              <w:rPr>
                <w:rFonts w:hint="eastAsia" w:ascii="仿宋" w:hAnsi="仿宋" w:eastAsia="仿宋" w:cs="仿宋"/>
                <w:color w:val="auto"/>
                <w:spacing w:val="-15"/>
                <w:sz w:val="24"/>
                <w:szCs w:val="24"/>
                <w:highlight w:val="none"/>
              </w:rPr>
              <w:t>内</w:t>
            </w:r>
            <w:r>
              <w:rPr>
                <w:rFonts w:hint="eastAsia" w:ascii="仿宋" w:hAnsi="仿宋" w:eastAsia="仿宋" w:cs="仿宋"/>
                <w:color w:val="auto"/>
                <w:spacing w:val="68"/>
                <w:sz w:val="24"/>
                <w:szCs w:val="24"/>
                <w:highlight w:val="none"/>
              </w:rPr>
              <w:t xml:space="preserve"> </w:t>
            </w:r>
            <w:r>
              <w:rPr>
                <w:rFonts w:hint="eastAsia" w:ascii="仿宋" w:hAnsi="仿宋" w:eastAsia="仿宋" w:cs="仿宋"/>
                <w:color w:val="auto"/>
                <w:spacing w:val="-15"/>
                <w:sz w:val="24"/>
                <w:szCs w:val="24"/>
                <w:highlight w:val="none"/>
              </w:rPr>
              <w:t>容</w:t>
            </w:r>
          </w:p>
        </w:tc>
        <w:tc>
          <w:tcPr>
            <w:tcW w:w="7189" w:type="dxa"/>
            <w:tcBorders>
              <w:top w:val="single" w:color="000000" w:sz="6" w:space="0"/>
              <w:bottom w:val="single" w:color="000000" w:sz="4" w:space="0"/>
              <w:right w:val="single" w:color="000000" w:sz="4" w:space="0"/>
            </w:tcBorders>
            <w:vAlign w:val="top"/>
          </w:tcPr>
          <w:p w14:paraId="01BC5F7E">
            <w:pPr>
              <w:pStyle w:val="21"/>
              <w:spacing w:before="219" w:line="227" w:lineRule="auto"/>
              <w:ind w:left="2724"/>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说明及要求</w:t>
            </w:r>
          </w:p>
        </w:tc>
      </w:tr>
      <w:tr w14:paraId="5C577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5" w:hRule="atLeast"/>
        </w:trPr>
        <w:tc>
          <w:tcPr>
            <w:tcW w:w="1009" w:type="dxa"/>
            <w:tcBorders>
              <w:top w:val="single" w:color="000000" w:sz="4" w:space="0"/>
              <w:bottom w:val="single" w:color="000000" w:sz="4" w:space="0"/>
            </w:tcBorders>
            <w:vAlign w:val="center"/>
          </w:tcPr>
          <w:p w14:paraId="2EBD73D7">
            <w:pPr>
              <w:pStyle w:val="21"/>
              <w:spacing w:before="75" w:line="189" w:lineRule="auto"/>
              <w:ind w:left="369"/>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val="en-US" w:eastAsia="zh-CN"/>
              </w:rPr>
              <w:t>1</w:t>
            </w:r>
          </w:p>
        </w:tc>
        <w:tc>
          <w:tcPr>
            <w:tcW w:w="1970" w:type="dxa"/>
            <w:tcBorders>
              <w:top w:val="single" w:color="000000" w:sz="4" w:space="0"/>
              <w:bottom w:val="single" w:color="000000" w:sz="4" w:space="0"/>
            </w:tcBorders>
            <w:vAlign w:val="center"/>
          </w:tcPr>
          <w:p w14:paraId="64055EBA">
            <w:pPr>
              <w:spacing w:before="79" w:line="360" w:lineRule="auto"/>
              <w:ind w:left="35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5D499F63">
            <w:pPr>
              <w:spacing w:before="79" w:line="360" w:lineRule="auto"/>
              <w:ind w:left="35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14:paraId="238A9914">
            <w:pPr>
              <w:spacing w:before="79" w:line="360" w:lineRule="auto"/>
              <w:ind w:left="354"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w:t>
            </w:r>
          </w:p>
        </w:tc>
        <w:tc>
          <w:tcPr>
            <w:tcW w:w="7189" w:type="dxa"/>
            <w:tcBorders>
              <w:top w:val="single" w:color="000000" w:sz="4" w:space="0"/>
              <w:bottom w:val="single" w:color="000000" w:sz="4" w:space="0"/>
              <w:right w:val="single" w:color="000000" w:sz="4" w:space="0"/>
            </w:tcBorders>
            <w:vAlign w:val="top"/>
          </w:tcPr>
          <w:p w14:paraId="7CC13902">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项目名称：2026年危旧房屋和城中村改造房地产测绘评估等服务事项实施框架协议采购项目</w:t>
            </w:r>
          </w:p>
          <w:p w14:paraId="50B96F84">
            <w:pPr>
              <w:spacing w:before="80" w:line="360" w:lineRule="auto"/>
              <w:ind w:left="117" w:left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项目编号：</w:t>
            </w:r>
            <w:r>
              <w:rPr>
                <w:rFonts w:hint="eastAsia" w:ascii="仿宋" w:hAnsi="仿宋" w:eastAsia="仿宋" w:cs="仿宋"/>
                <w:color w:val="auto"/>
                <w:sz w:val="24"/>
                <w:szCs w:val="24"/>
                <w:highlight w:val="none"/>
              </w:rPr>
              <w:t>ATSJYZX-CG（KJ)-2026032</w:t>
            </w:r>
          </w:p>
          <w:p w14:paraId="3237CD1F">
            <w:pPr>
              <w:spacing w:before="80" w:line="360" w:lineRule="auto"/>
              <w:ind w:left="117" w:leftChars="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采购内容：</w:t>
            </w:r>
            <w:r>
              <w:rPr>
                <w:rFonts w:hint="eastAsia" w:ascii="仿宋" w:hAnsi="仿宋" w:eastAsia="仿宋" w:cs="仿宋"/>
                <w:color w:val="auto"/>
                <w:sz w:val="24"/>
                <w:szCs w:val="24"/>
                <w:highlight w:val="none"/>
                <w:lang w:val="en-US" w:eastAsia="zh-CN"/>
              </w:rPr>
              <w:t>2026年阿图什市危旧房屋和棚户区改造房产土地测绘、设备评估、可回收资源评估、搬家转运、资产公证、垃圾清运、围挡使用、跟踪审计、房产土地和财产、社会稳定评估等服务事项框架协议采购项目。</w:t>
            </w:r>
            <w:r>
              <w:rPr>
                <w:rFonts w:hint="eastAsia" w:ascii="仿宋" w:hAnsi="仿宋" w:eastAsia="仿宋" w:cs="仿宋"/>
                <w:color w:val="auto"/>
                <w:sz w:val="24"/>
                <w:szCs w:val="24"/>
                <w:highlight w:val="none"/>
                <w:lang w:eastAsia="zh-CN"/>
              </w:rPr>
              <w:t>(具体详见征集文件</w:t>
            </w:r>
            <w:r>
              <w:rPr>
                <w:rFonts w:hint="eastAsia" w:ascii="仿宋" w:hAnsi="仿宋" w:eastAsia="仿宋" w:cs="仿宋"/>
                <w:color w:val="auto"/>
                <w:sz w:val="24"/>
                <w:szCs w:val="24"/>
                <w:highlight w:val="none"/>
                <w:lang w:val="en-US" w:eastAsia="zh-CN"/>
              </w:rPr>
              <w:t>采购需求</w:t>
            </w:r>
            <w:r>
              <w:rPr>
                <w:rFonts w:hint="eastAsia" w:ascii="仿宋" w:hAnsi="仿宋" w:eastAsia="仿宋" w:cs="仿宋"/>
                <w:color w:val="auto"/>
                <w:sz w:val="24"/>
                <w:szCs w:val="24"/>
                <w:highlight w:val="none"/>
                <w:lang w:eastAsia="zh-CN"/>
              </w:rPr>
              <w:t>）</w:t>
            </w:r>
          </w:p>
        </w:tc>
      </w:tr>
      <w:tr w14:paraId="63A2F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09" w:type="dxa"/>
            <w:tcBorders>
              <w:top w:val="single" w:color="000000" w:sz="4" w:space="0"/>
              <w:bottom w:val="single" w:color="000000" w:sz="4" w:space="0"/>
            </w:tcBorders>
            <w:vAlign w:val="center"/>
          </w:tcPr>
          <w:p w14:paraId="32C0652F">
            <w:pPr>
              <w:pStyle w:val="21"/>
              <w:spacing w:before="134" w:line="189"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val="en-US" w:eastAsia="zh-CN"/>
              </w:rPr>
              <w:t>2</w:t>
            </w:r>
          </w:p>
        </w:tc>
        <w:tc>
          <w:tcPr>
            <w:tcW w:w="1970" w:type="dxa"/>
            <w:tcBorders>
              <w:top w:val="single" w:color="000000" w:sz="4" w:space="0"/>
              <w:bottom w:val="single" w:color="000000" w:sz="4" w:space="0"/>
            </w:tcBorders>
            <w:vAlign w:val="center"/>
          </w:tcPr>
          <w:p w14:paraId="7D1172B1">
            <w:pPr>
              <w:pStyle w:val="21"/>
              <w:spacing w:before="99" w:line="227" w:lineRule="auto"/>
              <w:ind w:left="675"/>
              <w:jc w:val="left"/>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征集人</w:t>
            </w:r>
          </w:p>
        </w:tc>
        <w:tc>
          <w:tcPr>
            <w:tcW w:w="7189" w:type="dxa"/>
            <w:tcBorders>
              <w:top w:val="single" w:color="000000" w:sz="4" w:space="0"/>
              <w:bottom w:val="single" w:color="000000" w:sz="4" w:space="0"/>
              <w:right w:val="single" w:color="000000" w:sz="4" w:space="0"/>
            </w:tcBorders>
            <w:vAlign w:val="top"/>
          </w:tcPr>
          <w:p w14:paraId="3A8AB696">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征集人名称：阿图什市住房和城乡建设局（阿图什市国有土地上房屋征收与补偿管理办公室）</w:t>
            </w:r>
          </w:p>
          <w:p w14:paraId="6069B3BF">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征集人地址：</w:t>
            </w:r>
            <w:r>
              <w:rPr>
                <w:rFonts w:hint="eastAsia" w:ascii="仿宋" w:hAnsi="仿宋" w:eastAsia="仿宋" w:cs="仿宋"/>
                <w:color w:val="auto"/>
                <w:sz w:val="24"/>
                <w:szCs w:val="24"/>
                <w:highlight w:val="none"/>
                <w:lang w:eastAsia="zh-CN"/>
              </w:rPr>
              <w:t>阿图什市松他克南路22号院</w:t>
            </w:r>
          </w:p>
          <w:p w14:paraId="3D2D3840">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征集人联系人：徐</w:t>
            </w:r>
            <w:r>
              <w:rPr>
                <w:rFonts w:hint="eastAsia" w:ascii="仿宋" w:hAnsi="仿宋" w:eastAsia="仿宋" w:cs="仿宋"/>
                <w:color w:val="auto"/>
                <w:sz w:val="24"/>
                <w:szCs w:val="24"/>
                <w:highlight w:val="none"/>
                <w:lang w:val="en-US" w:eastAsia="zh-CN"/>
              </w:rPr>
              <w:t>先生</w:t>
            </w:r>
          </w:p>
          <w:p w14:paraId="0F370BD0">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征集人联系方式：18209089665</w:t>
            </w:r>
          </w:p>
        </w:tc>
      </w:tr>
      <w:tr w14:paraId="7C06C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009" w:type="dxa"/>
            <w:tcBorders>
              <w:top w:val="single" w:color="000000" w:sz="4" w:space="0"/>
              <w:left w:val="single" w:color="000000" w:sz="6" w:space="0"/>
            </w:tcBorders>
            <w:vAlign w:val="top"/>
          </w:tcPr>
          <w:p w14:paraId="55570CA0">
            <w:pPr>
              <w:spacing w:line="364" w:lineRule="auto"/>
              <w:jc w:val="center"/>
              <w:rPr>
                <w:rFonts w:hint="eastAsia" w:ascii="仿宋" w:hAnsi="仿宋" w:eastAsia="仿宋" w:cs="仿宋"/>
                <w:color w:val="auto"/>
                <w:sz w:val="24"/>
                <w:szCs w:val="24"/>
                <w:highlight w:val="none"/>
              </w:rPr>
            </w:pPr>
          </w:p>
          <w:p w14:paraId="74F4953C">
            <w:pPr>
              <w:pStyle w:val="21"/>
              <w:spacing w:before="75" w:line="189"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val="en-US" w:eastAsia="zh-CN"/>
              </w:rPr>
              <w:t>3</w:t>
            </w:r>
          </w:p>
        </w:tc>
        <w:tc>
          <w:tcPr>
            <w:tcW w:w="1970" w:type="dxa"/>
            <w:tcBorders>
              <w:top w:val="single" w:color="000000" w:sz="4" w:space="0"/>
            </w:tcBorders>
            <w:vAlign w:val="top"/>
          </w:tcPr>
          <w:p w14:paraId="35EE1FFA">
            <w:pPr>
              <w:spacing w:line="327" w:lineRule="auto"/>
              <w:rPr>
                <w:rFonts w:hint="eastAsia" w:ascii="仿宋" w:hAnsi="仿宋" w:eastAsia="仿宋" w:cs="仿宋"/>
                <w:color w:val="auto"/>
                <w:sz w:val="24"/>
                <w:szCs w:val="24"/>
                <w:highlight w:val="none"/>
              </w:rPr>
            </w:pPr>
          </w:p>
          <w:p w14:paraId="7E3ABAA2">
            <w:pPr>
              <w:pStyle w:val="21"/>
              <w:spacing w:before="74" w:line="227" w:lineRule="auto"/>
              <w:ind w:left="30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采购代理机构</w:t>
            </w:r>
          </w:p>
        </w:tc>
        <w:tc>
          <w:tcPr>
            <w:tcW w:w="7189" w:type="dxa"/>
            <w:tcBorders>
              <w:top w:val="single" w:color="000000" w:sz="4" w:space="0"/>
              <w:right w:val="single" w:color="000000" w:sz="6" w:space="0"/>
            </w:tcBorders>
            <w:vAlign w:val="top"/>
          </w:tcPr>
          <w:p w14:paraId="60A952A6">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  称：新疆誉诚信工程项目管理有限责任公司</w:t>
            </w:r>
          </w:p>
          <w:p w14:paraId="20B18165">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址：阿图什市友谊路81号</w:t>
            </w:r>
          </w:p>
          <w:p w14:paraId="798F7CF3">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联系人：施先生    联系方式：15209085733</w:t>
            </w:r>
          </w:p>
        </w:tc>
      </w:tr>
      <w:tr w14:paraId="2E873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1009" w:type="dxa"/>
            <w:vAlign w:val="top"/>
          </w:tcPr>
          <w:p w14:paraId="7B2FD16B">
            <w:pPr>
              <w:spacing w:line="243" w:lineRule="auto"/>
              <w:jc w:val="center"/>
              <w:rPr>
                <w:rFonts w:hint="eastAsia" w:ascii="仿宋" w:hAnsi="仿宋" w:eastAsia="仿宋" w:cs="仿宋"/>
                <w:color w:val="auto"/>
                <w:sz w:val="24"/>
                <w:szCs w:val="24"/>
                <w:highlight w:val="none"/>
              </w:rPr>
            </w:pPr>
          </w:p>
          <w:p w14:paraId="0FC1A465">
            <w:pPr>
              <w:spacing w:line="243" w:lineRule="auto"/>
              <w:jc w:val="center"/>
              <w:rPr>
                <w:rFonts w:hint="eastAsia" w:ascii="仿宋" w:hAnsi="仿宋" w:eastAsia="仿宋" w:cs="仿宋"/>
                <w:color w:val="auto"/>
                <w:sz w:val="24"/>
                <w:szCs w:val="24"/>
                <w:highlight w:val="none"/>
              </w:rPr>
            </w:pPr>
          </w:p>
          <w:p w14:paraId="5126FE24">
            <w:pPr>
              <w:spacing w:line="243" w:lineRule="auto"/>
              <w:jc w:val="center"/>
              <w:rPr>
                <w:rFonts w:hint="eastAsia" w:ascii="仿宋" w:hAnsi="仿宋" w:eastAsia="仿宋" w:cs="仿宋"/>
                <w:color w:val="auto"/>
                <w:sz w:val="24"/>
                <w:szCs w:val="24"/>
                <w:highlight w:val="none"/>
              </w:rPr>
            </w:pPr>
          </w:p>
          <w:p w14:paraId="601E3919">
            <w:pPr>
              <w:spacing w:line="243" w:lineRule="auto"/>
              <w:jc w:val="center"/>
              <w:rPr>
                <w:rFonts w:hint="eastAsia" w:ascii="仿宋" w:hAnsi="仿宋" w:eastAsia="仿宋" w:cs="仿宋"/>
                <w:color w:val="auto"/>
                <w:sz w:val="24"/>
                <w:szCs w:val="24"/>
                <w:highlight w:val="none"/>
              </w:rPr>
            </w:pPr>
          </w:p>
          <w:p w14:paraId="7937B7F1">
            <w:pPr>
              <w:spacing w:line="244" w:lineRule="auto"/>
              <w:jc w:val="center"/>
              <w:rPr>
                <w:rFonts w:hint="eastAsia" w:ascii="仿宋" w:hAnsi="仿宋" w:eastAsia="仿宋" w:cs="仿宋"/>
                <w:color w:val="auto"/>
                <w:sz w:val="24"/>
                <w:szCs w:val="24"/>
                <w:highlight w:val="none"/>
              </w:rPr>
            </w:pPr>
          </w:p>
          <w:p w14:paraId="14A862E7">
            <w:pPr>
              <w:spacing w:line="244" w:lineRule="auto"/>
              <w:jc w:val="center"/>
              <w:rPr>
                <w:rFonts w:hint="eastAsia" w:ascii="仿宋" w:hAnsi="仿宋" w:eastAsia="仿宋" w:cs="仿宋"/>
                <w:color w:val="auto"/>
                <w:sz w:val="24"/>
                <w:szCs w:val="24"/>
                <w:highlight w:val="none"/>
              </w:rPr>
            </w:pPr>
          </w:p>
          <w:p w14:paraId="14DE9E87">
            <w:pPr>
              <w:spacing w:line="244" w:lineRule="auto"/>
              <w:jc w:val="center"/>
              <w:rPr>
                <w:rFonts w:hint="eastAsia" w:ascii="仿宋" w:hAnsi="仿宋" w:eastAsia="仿宋" w:cs="仿宋"/>
                <w:color w:val="auto"/>
                <w:sz w:val="24"/>
                <w:szCs w:val="24"/>
                <w:highlight w:val="none"/>
              </w:rPr>
            </w:pPr>
          </w:p>
          <w:p w14:paraId="53367759">
            <w:pPr>
              <w:pStyle w:val="21"/>
              <w:spacing w:before="75" w:line="189" w:lineRule="auto"/>
              <w:ind w:left="249"/>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6"/>
                <w:sz w:val="24"/>
                <w:szCs w:val="24"/>
                <w:highlight w:val="none"/>
                <w:lang w:val="en-US" w:eastAsia="zh-CN"/>
              </w:rPr>
              <w:t>4</w:t>
            </w:r>
          </w:p>
        </w:tc>
        <w:tc>
          <w:tcPr>
            <w:tcW w:w="1970" w:type="dxa"/>
            <w:vAlign w:val="top"/>
          </w:tcPr>
          <w:p w14:paraId="02418531">
            <w:pPr>
              <w:spacing w:line="253" w:lineRule="auto"/>
              <w:rPr>
                <w:rFonts w:hint="eastAsia" w:ascii="仿宋" w:hAnsi="仿宋" w:eastAsia="仿宋" w:cs="仿宋"/>
                <w:color w:val="auto"/>
                <w:sz w:val="24"/>
                <w:szCs w:val="24"/>
                <w:highlight w:val="none"/>
              </w:rPr>
            </w:pPr>
          </w:p>
          <w:p w14:paraId="1D7C72C4">
            <w:pPr>
              <w:spacing w:line="253" w:lineRule="auto"/>
              <w:rPr>
                <w:rFonts w:hint="eastAsia" w:ascii="仿宋" w:hAnsi="仿宋" w:eastAsia="仿宋" w:cs="仿宋"/>
                <w:color w:val="auto"/>
                <w:sz w:val="24"/>
                <w:szCs w:val="24"/>
                <w:highlight w:val="none"/>
              </w:rPr>
            </w:pPr>
          </w:p>
          <w:p w14:paraId="4E118208">
            <w:pPr>
              <w:spacing w:line="253" w:lineRule="auto"/>
              <w:rPr>
                <w:rFonts w:hint="eastAsia" w:ascii="仿宋" w:hAnsi="仿宋" w:eastAsia="仿宋" w:cs="仿宋"/>
                <w:color w:val="auto"/>
                <w:sz w:val="24"/>
                <w:szCs w:val="24"/>
                <w:highlight w:val="none"/>
              </w:rPr>
            </w:pPr>
          </w:p>
          <w:p w14:paraId="4F16C2FE">
            <w:pPr>
              <w:spacing w:line="253" w:lineRule="auto"/>
              <w:rPr>
                <w:rFonts w:hint="eastAsia" w:ascii="仿宋" w:hAnsi="仿宋" w:eastAsia="仿宋" w:cs="仿宋"/>
                <w:color w:val="auto"/>
                <w:sz w:val="24"/>
                <w:szCs w:val="24"/>
                <w:highlight w:val="none"/>
              </w:rPr>
            </w:pPr>
          </w:p>
          <w:p w14:paraId="28E3577F">
            <w:pPr>
              <w:spacing w:line="253" w:lineRule="auto"/>
              <w:rPr>
                <w:rFonts w:hint="eastAsia" w:ascii="仿宋" w:hAnsi="仿宋" w:eastAsia="仿宋" w:cs="仿宋"/>
                <w:color w:val="auto"/>
                <w:sz w:val="24"/>
                <w:szCs w:val="24"/>
                <w:highlight w:val="none"/>
              </w:rPr>
            </w:pPr>
          </w:p>
          <w:p w14:paraId="17BE806E">
            <w:pPr>
              <w:spacing w:line="253" w:lineRule="auto"/>
              <w:rPr>
                <w:rFonts w:hint="eastAsia" w:ascii="仿宋" w:hAnsi="仿宋" w:eastAsia="仿宋" w:cs="仿宋"/>
                <w:color w:val="auto"/>
                <w:sz w:val="24"/>
                <w:szCs w:val="24"/>
                <w:highlight w:val="none"/>
              </w:rPr>
            </w:pPr>
          </w:p>
          <w:p w14:paraId="36119723">
            <w:pPr>
              <w:spacing w:line="254" w:lineRule="auto"/>
              <w:rPr>
                <w:rFonts w:hint="eastAsia" w:ascii="仿宋" w:hAnsi="仿宋" w:eastAsia="仿宋" w:cs="仿宋"/>
                <w:color w:val="auto"/>
                <w:sz w:val="24"/>
                <w:szCs w:val="24"/>
                <w:highlight w:val="none"/>
              </w:rPr>
            </w:pPr>
          </w:p>
          <w:p w14:paraId="6CB842DD">
            <w:pPr>
              <w:pStyle w:val="21"/>
              <w:spacing w:before="75" w:line="227" w:lineRule="auto"/>
              <w:ind w:left="61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资格要求</w:t>
            </w:r>
          </w:p>
        </w:tc>
        <w:tc>
          <w:tcPr>
            <w:tcW w:w="7189" w:type="dxa"/>
            <w:vAlign w:val="top"/>
          </w:tcPr>
          <w:p w14:paraId="6C82C678">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1.满足《中华人民共和国政府采购法》第二十二条规定；</w:t>
            </w:r>
          </w:p>
          <w:p w14:paraId="07694DB6">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2.落实政府采购政策需满足的资格要求：标项1、2、3、4、5、6、7、8、9、10，专门面向中小企业。</w:t>
            </w:r>
          </w:p>
          <w:p w14:paraId="5D401284">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3.本项目的特定资格要求：</w:t>
            </w:r>
          </w:p>
          <w:p w14:paraId="7B400C01">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标项1、标项2、标项3、标项4、标项5、标项6、标项7、标项8、标项9、标项10：</w:t>
            </w:r>
          </w:p>
          <w:p w14:paraId="67F3D72E">
            <w:pPr>
              <w:spacing w:before="80" w:line="360" w:lineRule="auto"/>
              <w:ind w:left="117" w:leftChars="0"/>
              <w:rPr>
                <w:rFonts w:hint="eastAsia"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 xml:space="preserve">1）具备三证合一营业执照副本； </w:t>
            </w:r>
            <w:bookmarkStart w:id="0" w:name="_GoBack"/>
            <w:bookmarkEnd w:id="0"/>
          </w:p>
          <w:p w14:paraId="389E7609">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en-US"/>
              </w:rPr>
              <w:t>2）法定代表人投标需提供法定代表人资格证明书，委托代理人投标需提供法定代表人授权</w:t>
            </w:r>
            <w:r>
              <w:rPr>
                <w:rFonts w:hint="eastAsia" w:ascii="仿宋" w:hAnsi="仿宋" w:eastAsia="仿宋" w:cs="仿宋"/>
                <w:color w:val="auto"/>
                <w:sz w:val="24"/>
                <w:szCs w:val="24"/>
                <w:highlight w:val="none"/>
                <w:lang w:val="en-US" w:eastAsia="zh-CN"/>
              </w:rPr>
              <w:t xml:space="preserve">委托书； </w:t>
            </w:r>
          </w:p>
          <w:p w14:paraId="3762CA93">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3）投标企业须提供投标人（被授权在职人员）近6个月内任意1个月社保证明； </w:t>
            </w:r>
          </w:p>
          <w:p w14:paraId="1EC2788B">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4）未被列入信用中国网（www.creditchina.gov.cn）及中国政府采购网(www.ccgp.gov.cn）失信被执行人名单、重大税收违法失信主体、政府采购严重违法失信行为记录名单；</w:t>
            </w:r>
          </w:p>
          <w:p w14:paraId="54F7466F">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5）【标项1】投标企业须具备行政主管部门颁发的测绘乙级及以上资质证书。</w:t>
            </w:r>
          </w:p>
          <w:p w14:paraId="4C45C540">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【标项5】投标企业须具备国家行政主管部门合法登记注册，并具备有效的公证机构执业证书。</w:t>
            </w:r>
          </w:p>
          <w:p w14:paraId="0AC50731">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7】投标企业须具备[施工总承包·建筑工程·建筑工程二级](含)以上；施工项目负责人资质类别和等级：具有建筑工程专业二级注册建造师执业资格及有效的安全生产考核合格证书，且未担任其他在建建设工程项目的项目负责人，外省投标企业须提供《新疆维吾尔自治区区外建设工程企业信息登记册》或http://jsy.xjjs.gov.cn/下载审核通过的信息报送册。</w:t>
            </w:r>
          </w:p>
          <w:p w14:paraId="5D04767B">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【标项8】投标企业项目负责人须具备在本单位注册的土木建筑工程专业一级注册造价师。</w:t>
            </w:r>
          </w:p>
          <w:p w14:paraId="7725FAA1">
            <w:pPr>
              <w:spacing w:before="80" w:line="360" w:lineRule="auto"/>
              <w:ind w:left="117"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【标项9】投标企业须具备国家许可和备案的(房地产估价机构备案证书)三级(含三级)及以上资质；拟任项目负责人具有房地产估价师资格。</w:t>
            </w:r>
          </w:p>
        </w:tc>
      </w:tr>
      <w:tr w14:paraId="05337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1009" w:type="dxa"/>
            <w:vAlign w:val="top"/>
          </w:tcPr>
          <w:p w14:paraId="1F7F3179">
            <w:pPr>
              <w:spacing w:line="245" w:lineRule="auto"/>
              <w:jc w:val="center"/>
              <w:rPr>
                <w:rFonts w:hint="eastAsia" w:ascii="仿宋" w:hAnsi="仿宋" w:eastAsia="仿宋" w:cs="仿宋"/>
                <w:color w:val="auto"/>
                <w:sz w:val="24"/>
                <w:szCs w:val="24"/>
                <w:highlight w:val="none"/>
              </w:rPr>
            </w:pPr>
          </w:p>
          <w:p w14:paraId="7928502E">
            <w:pPr>
              <w:spacing w:line="245" w:lineRule="auto"/>
              <w:jc w:val="center"/>
              <w:rPr>
                <w:rFonts w:hint="eastAsia" w:ascii="仿宋" w:hAnsi="仿宋" w:eastAsia="仿宋" w:cs="仿宋"/>
                <w:color w:val="auto"/>
                <w:sz w:val="24"/>
                <w:szCs w:val="24"/>
                <w:highlight w:val="none"/>
              </w:rPr>
            </w:pPr>
          </w:p>
          <w:p w14:paraId="7B5FECBD">
            <w:pPr>
              <w:spacing w:line="245" w:lineRule="auto"/>
              <w:jc w:val="center"/>
              <w:rPr>
                <w:rFonts w:hint="eastAsia" w:ascii="仿宋" w:hAnsi="仿宋" w:eastAsia="仿宋" w:cs="仿宋"/>
                <w:color w:val="auto"/>
                <w:sz w:val="24"/>
                <w:szCs w:val="24"/>
                <w:highlight w:val="none"/>
              </w:rPr>
            </w:pPr>
          </w:p>
          <w:p w14:paraId="3F810918">
            <w:pPr>
              <w:spacing w:line="246" w:lineRule="auto"/>
              <w:jc w:val="center"/>
              <w:rPr>
                <w:rFonts w:hint="eastAsia" w:ascii="仿宋" w:hAnsi="仿宋" w:eastAsia="仿宋" w:cs="仿宋"/>
                <w:color w:val="auto"/>
                <w:sz w:val="24"/>
                <w:szCs w:val="24"/>
                <w:highlight w:val="none"/>
              </w:rPr>
            </w:pPr>
          </w:p>
          <w:p w14:paraId="5F289139">
            <w:pPr>
              <w:pStyle w:val="21"/>
              <w:spacing w:before="75" w:line="189" w:lineRule="auto"/>
              <w:ind w:left="158" w:leftChars="0"/>
              <w:jc w:val="center"/>
              <w:rPr>
                <w:rFonts w:hint="eastAsia" w:ascii="仿宋" w:hAnsi="仿宋" w:eastAsia="仿宋" w:cs="仿宋"/>
                <w:color w:val="auto"/>
                <w:spacing w:val="-10"/>
                <w:sz w:val="24"/>
                <w:szCs w:val="24"/>
                <w:highlight w:val="none"/>
              </w:rPr>
            </w:pPr>
          </w:p>
          <w:p w14:paraId="31A9F127">
            <w:pPr>
              <w:pStyle w:val="21"/>
              <w:spacing w:before="75" w:line="189" w:lineRule="auto"/>
              <w:ind w:left="158" w:leftChars="0"/>
              <w:jc w:val="center"/>
              <w:rPr>
                <w:rFonts w:hint="eastAsia" w:ascii="仿宋" w:hAnsi="仿宋" w:eastAsia="仿宋" w:cs="仿宋"/>
                <w:color w:val="auto"/>
                <w:spacing w:val="-10"/>
                <w:sz w:val="24"/>
                <w:szCs w:val="24"/>
                <w:highlight w:val="none"/>
              </w:rPr>
            </w:pPr>
          </w:p>
          <w:p w14:paraId="1AB2B7A2">
            <w:pPr>
              <w:pStyle w:val="21"/>
              <w:spacing w:before="75" w:line="189" w:lineRule="auto"/>
              <w:ind w:left="158" w:leftChars="0"/>
              <w:jc w:val="center"/>
              <w:rPr>
                <w:rFonts w:hint="eastAsia" w:ascii="仿宋" w:hAnsi="仿宋" w:eastAsia="仿宋" w:cs="仿宋"/>
                <w:color w:val="auto"/>
                <w:spacing w:val="-10"/>
                <w:sz w:val="24"/>
                <w:szCs w:val="24"/>
                <w:highlight w:val="none"/>
              </w:rPr>
            </w:pPr>
          </w:p>
          <w:p w14:paraId="04BADDC7">
            <w:pPr>
              <w:pStyle w:val="21"/>
              <w:spacing w:before="75" w:line="189" w:lineRule="auto"/>
              <w:ind w:left="158" w:leftChars="0"/>
              <w:jc w:val="center"/>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10"/>
                <w:sz w:val="24"/>
                <w:szCs w:val="24"/>
                <w:highlight w:val="none"/>
                <w:lang w:val="en-US" w:eastAsia="zh-CN"/>
              </w:rPr>
              <w:t>5</w:t>
            </w:r>
          </w:p>
        </w:tc>
        <w:tc>
          <w:tcPr>
            <w:tcW w:w="1970" w:type="dxa"/>
            <w:vAlign w:val="top"/>
          </w:tcPr>
          <w:p w14:paraId="15F14E3F">
            <w:pPr>
              <w:spacing w:line="288" w:lineRule="auto"/>
              <w:rPr>
                <w:rFonts w:hint="eastAsia" w:ascii="仿宋" w:hAnsi="仿宋" w:eastAsia="仿宋" w:cs="仿宋"/>
                <w:color w:val="auto"/>
                <w:sz w:val="24"/>
                <w:szCs w:val="24"/>
                <w:highlight w:val="none"/>
              </w:rPr>
            </w:pPr>
          </w:p>
          <w:p w14:paraId="733E7D48">
            <w:pPr>
              <w:spacing w:line="288" w:lineRule="auto"/>
              <w:rPr>
                <w:rFonts w:hint="eastAsia" w:ascii="仿宋" w:hAnsi="仿宋" w:eastAsia="仿宋" w:cs="仿宋"/>
                <w:color w:val="auto"/>
                <w:sz w:val="24"/>
                <w:szCs w:val="24"/>
                <w:highlight w:val="none"/>
              </w:rPr>
            </w:pPr>
          </w:p>
          <w:p w14:paraId="26AEDA51">
            <w:pPr>
              <w:pStyle w:val="21"/>
              <w:spacing w:before="75" w:line="227" w:lineRule="auto"/>
              <w:ind w:left="588" w:leftChars="0"/>
              <w:rPr>
                <w:rFonts w:hint="eastAsia" w:ascii="仿宋" w:hAnsi="仿宋" w:eastAsia="仿宋" w:cs="仿宋"/>
                <w:color w:val="auto"/>
                <w:spacing w:val="5"/>
                <w:sz w:val="24"/>
                <w:szCs w:val="24"/>
                <w:highlight w:val="none"/>
              </w:rPr>
            </w:pPr>
          </w:p>
          <w:p w14:paraId="6900841A">
            <w:pPr>
              <w:pStyle w:val="21"/>
              <w:spacing w:before="75" w:line="227" w:lineRule="auto"/>
              <w:ind w:left="588" w:leftChars="0"/>
              <w:rPr>
                <w:rFonts w:hint="eastAsia" w:ascii="仿宋" w:hAnsi="仿宋" w:eastAsia="仿宋" w:cs="仿宋"/>
                <w:color w:val="auto"/>
                <w:spacing w:val="5"/>
                <w:sz w:val="24"/>
                <w:szCs w:val="24"/>
                <w:highlight w:val="none"/>
              </w:rPr>
            </w:pPr>
          </w:p>
          <w:p w14:paraId="1F18E054">
            <w:pPr>
              <w:pStyle w:val="21"/>
              <w:spacing w:before="75" w:line="227" w:lineRule="auto"/>
              <w:ind w:left="588" w:leftChars="0"/>
              <w:rPr>
                <w:rFonts w:hint="eastAsia" w:ascii="仿宋" w:hAnsi="仿宋" w:eastAsia="仿宋" w:cs="仿宋"/>
                <w:color w:val="auto"/>
                <w:spacing w:val="5"/>
                <w:sz w:val="24"/>
                <w:szCs w:val="24"/>
                <w:highlight w:val="none"/>
              </w:rPr>
            </w:pPr>
          </w:p>
          <w:p w14:paraId="1C5A1ED4">
            <w:pPr>
              <w:pStyle w:val="21"/>
              <w:spacing w:before="75" w:line="227" w:lineRule="auto"/>
              <w:ind w:left="588" w:leftChars="0"/>
              <w:rPr>
                <w:rFonts w:hint="eastAsia" w:ascii="仿宋" w:hAnsi="仿宋" w:eastAsia="仿宋" w:cs="仿宋"/>
                <w:color w:val="auto"/>
                <w:spacing w:val="5"/>
                <w:sz w:val="24"/>
                <w:szCs w:val="24"/>
                <w:highlight w:val="none"/>
              </w:rPr>
            </w:pPr>
          </w:p>
          <w:p w14:paraId="2B751465">
            <w:pPr>
              <w:pStyle w:val="21"/>
              <w:spacing w:before="75" w:line="227" w:lineRule="auto"/>
              <w:ind w:firstLine="250" w:firstLineChars="100"/>
              <w:rPr>
                <w:rFonts w:hint="eastAsia" w:ascii="仿宋" w:hAnsi="仿宋" w:eastAsia="仿宋" w:cs="仿宋"/>
                <w:color w:val="auto"/>
                <w:spacing w:val="1"/>
                <w:sz w:val="24"/>
                <w:szCs w:val="24"/>
                <w:highlight w:val="none"/>
              </w:rPr>
            </w:pPr>
            <w:r>
              <w:rPr>
                <w:rFonts w:hint="eastAsia" w:ascii="仿宋" w:hAnsi="仿宋" w:eastAsia="仿宋" w:cs="仿宋"/>
                <w:color w:val="auto"/>
                <w:spacing w:val="5"/>
                <w:sz w:val="24"/>
                <w:szCs w:val="24"/>
                <w:highlight w:val="none"/>
              </w:rPr>
              <w:t>信用查询</w:t>
            </w:r>
          </w:p>
        </w:tc>
        <w:tc>
          <w:tcPr>
            <w:tcW w:w="7189" w:type="dxa"/>
            <w:vAlign w:val="top"/>
          </w:tcPr>
          <w:p w14:paraId="12FBE4AA">
            <w:pPr>
              <w:spacing w:before="80" w:line="360" w:lineRule="auto"/>
              <w:ind w:left="11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查询渠道：</w:t>
            </w:r>
          </w:p>
          <w:p w14:paraId="09927983">
            <w:pPr>
              <w:spacing w:before="80" w:line="360" w:lineRule="auto"/>
              <w:ind w:left="11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1、信用中国（网址：http://www.creditchina.gov.cn）、中国政府采购网(网址：</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"http://www.ccgp.gov.cn"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http://www.ccgp.gov.cn</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 xml:space="preserve">）。 </w:t>
            </w:r>
          </w:p>
          <w:p w14:paraId="592846D1">
            <w:pPr>
              <w:spacing w:before="80" w:line="360" w:lineRule="auto"/>
              <w:ind w:left="11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2、截止时点：开标后评标前。</w:t>
            </w:r>
          </w:p>
          <w:p w14:paraId="13EE10D9">
            <w:pPr>
              <w:spacing w:before="80" w:line="360" w:lineRule="auto"/>
              <w:ind w:left="11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3、信用信息查询记录和证据留存的具体方式：由采购组织机构在规定查询时间内打印信用信息查询记录并归入项目档案。 </w:t>
            </w:r>
          </w:p>
          <w:p w14:paraId="76E7F1DC">
            <w:pPr>
              <w:spacing w:before="80" w:line="360" w:lineRule="auto"/>
              <w:ind w:left="11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58B4C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1009" w:type="dxa"/>
            <w:vAlign w:val="top"/>
          </w:tcPr>
          <w:p w14:paraId="2E519DA3">
            <w:pPr>
              <w:spacing w:line="318" w:lineRule="auto"/>
              <w:jc w:val="center"/>
              <w:rPr>
                <w:rFonts w:hint="eastAsia" w:ascii="仿宋" w:hAnsi="仿宋" w:eastAsia="仿宋" w:cs="仿宋"/>
                <w:color w:val="auto"/>
                <w:sz w:val="24"/>
                <w:szCs w:val="24"/>
                <w:highlight w:val="none"/>
              </w:rPr>
            </w:pPr>
          </w:p>
          <w:p w14:paraId="45E63BE1">
            <w:pPr>
              <w:pStyle w:val="21"/>
              <w:spacing w:before="75" w:line="189" w:lineRule="auto"/>
              <w:jc w:val="center"/>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6"/>
                <w:sz w:val="24"/>
                <w:szCs w:val="24"/>
                <w:highlight w:val="none"/>
                <w:lang w:val="en-US" w:eastAsia="zh-CN"/>
              </w:rPr>
              <w:t>6</w:t>
            </w:r>
          </w:p>
        </w:tc>
        <w:tc>
          <w:tcPr>
            <w:tcW w:w="1970" w:type="dxa"/>
            <w:vAlign w:val="top"/>
          </w:tcPr>
          <w:p w14:paraId="681AE803">
            <w:pPr>
              <w:spacing w:line="280" w:lineRule="auto"/>
              <w:rPr>
                <w:rFonts w:hint="eastAsia" w:ascii="仿宋" w:hAnsi="仿宋" w:eastAsia="仿宋" w:cs="仿宋"/>
                <w:color w:val="auto"/>
                <w:sz w:val="24"/>
                <w:szCs w:val="24"/>
                <w:highlight w:val="none"/>
              </w:rPr>
            </w:pPr>
          </w:p>
          <w:p w14:paraId="48B4D94A">
            <w:pPr>
              <w:pStyle w:val="21"/>
              <w:spacing w:before="75" w:line="227" w:lineRule="auto"/>
              <w:ind w:left="549" w:leftChars="0"/>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采购方式</w:t>
            </w:r>
          </w:p>
        </w:tc>
        <w:tc>
          <w:tcPr>
            <w:tcW w:w="7189" w:type="dxa"/>
            <w:vAlign w:val="top"/>
          </w:tcPr>
          <w:p w14:paraId="3DB7494F">
            <w:pPr>
              <w:pStyle w:val="21"/>
              <w:spacing w:before="126" w:line="227" w:lineRule="auto"/>
              <w:ind w:left="114"/>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采购形式：封闭式框架协议采购</w:t>
            </w:r>
          </w:p>
          <w:p w14:paraId="775E4811">
            <w:pPr>
              <w:pStyle w:val="21"/>
              <w:spacing w:before="180" w:line="226" w:lineRule="auto"/>
              <w:ind w:left="114" w:leftChars="0"/>
              <w:rPr>
                <w:rFonts w:hint="eastAsia" w:ascii="仿宋" w:hAnsi="仿宋" w:eastAsia="仿宋" w:cs="仿宋"/>
                <w:color w:val="auto"/>
                <w:spacing w:val="10"/>
                <w:sz w:val="24"/>
                <w:szCs w:val="24"/>
                <w:highlight w:val="none"/>
              </w:rPr>
            </w:pPr>
            <w:r>
              <w:rPr>
                <w:rFonts w:hint="eastAsia" w:ascii="仿宋" w:hAnsi="仿宋" w:eastAsia="仿宋" w:cs="仿宋"/>
                <w:color w:val="auto"/>
                <w:spacing w:val="-4"/>
                <w:sz w:val="24"/>
                <w:szCs w:val="24"/>
                <w:highlight w:val="none"/>
              </w:rPr>
              <w:t>评审方法：</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position w:val="1"/>
                <w:sz w:val="24"/>
                <w:szCs w:val="24"/>
                <w:highlight w:val="none"/>
                <w:lang w:val="en-US" w:eastAsia="zh-CN"/>
              </w:rPr>
              <w:t xml:space="preserve"> </w:t>
            </w:r>
            <w:r>
              <w:rPr>
                <w:rFonts w:hint="eastAsia" w:ascii="仿宋" w:hAnsi="仿宋" w:eastAsia="仿宋" w:cs="仿宋"/>
                <w:color w:val="auto"/>
                <w:spacing w:val="-4"/>
                <w:sz w:val="24"/>
                <w:szCs w:val="24"/>
                <w:highlight w:val="none"/>
              </w:rPr>
              <w:t>质量优先法</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4"/>
                <w:sz w:val="24"/>
                <w:szCs w:val="24"/>
                <w:highlight w:val="none"/>
              </w:rPr>
              <w:t>□价格优先法</w:t>
            </w:r>
          </w:p>
        </w:tc>
      </w:tr>
      <w:tr w14:paraId="730C2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009" w:type="dxa"/>
            <w:vAlign w:val="top"/>
          </w:tcPr>
          <w:p w14:paraId="13C07D19">
            <w:pPr>
              <w:pStyle w:val="21"/>
              <w:spacing w:before="223" w:line="189" w:lineRule="auto"/>
              <w:jc w:val="center"/>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6"/>
                <w:sz w:val="24"/>
                <w:szCs w:val="24"/>
                <w:highlight w:val="none"/>
                <w:lang w:val="en-US" w:eastAsia="zh-CN"/>
              </w:rPr>
              <w:t>7</w:t>
            </w:r>
          </w:p>
        </w:tc>
        <w:tc>
          <w:tcPr>
            <w:tcW w:w="1970" w:type="dxa"/>
            <w:vAlign w:val="top"/>
          </w:tcPr>
          <w:p w14:paraId="30B61963">
            <w:pPr>
              <w:pStyle w:val="21"/>
              <w:spacing w:before="186" w:line="228" w:lineRule="auto"/>
              <w:ind w:left="318" w:leftChars="0"/>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项目实施地点</w:t>
            </w:r>
          </w:p>
        </w:tc>
        <w:tc>
          <w:tcPr>
            <w:tcW w:w="7189" w:type="dxa"/>
            <w:vAlign w:val="top"/>
          </w:tcPr>
          <w:p w14:paraId="68A3C305">
            <w:pPr>
              <w:pStyle w:val="21"/>
              <w:spacing w:before="186" w:line="227" w:lineRule="auto"/>
              <w:ind w:left="137" w:leftChars="0"/>
              <w:rPr>
                <w:rFonts w:hint="eastAsia" w:ascii="仿宋" w:hAnsi="仿宋" w:eastAsia="仿宋" w:cs="仿宋"/>
                <w:color w:val="auto"/>
                <w:spacing w:val="10"/>
                <w:sz w:val="24"/>
                <w:szCs w:val="24"/>
                <w:highlight w:val="none"/>
              </w:rPr>
            </w:pPr>
            <w:r>
              <w:rPr>
                <w:rFonts w:hint="eastAsia" w:ascii="仿宋" w:hAnsi="仿宋" w:eastAsia="仿宋" w:cs="仿宋"/>
                <w:color w:val="auto"/>
                <w:spacing w:val="1"/>
                <w:sz w:val="24"/>
                <w:szCs w:val="24"/>
                <w:highlight w:val="none"/>
                <w:lang w:val="en-US" w:eastAsia="zh-CN"/>
              </w:rPr>
              <w:t>阿图什市（甲方指定地点）</w:t>
            </w:r>
          </w:p>
        </w:tc>
      </w:tr>
      <w:tr w14:paraId="43F4D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1009" w:type="dxa"/>
            <w:vAlign w:val="top"/>
          </w:tcPr>
          <w:p w14:paraId="2D55AD00">
            <w:pPr>
              <w:pStyle w:val="21"/>
              <w:spacing w:before="236" w:line="189" w:lineRule="auto"/>
              <w:jc w:val="center"/>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6"/>
                <w:sz w:val="24"/>
                <w:szCs w:val="24"/>
                <w:highlight w:val="none"/>
                <w:lang w:val="en-US" w:eastAsia="zh-CN"/>
              </w:rPr>
              <w:t>8</w:t>
            </w:r>
          </w:p>
        </w:tc>
        <w:tc>
          <w:tcPr>
            <w:tcW w:w="1970" w:type="dxa"/>
            <w:vAlign w:val="top"/>
          </w:tcPr>
          <w:p w14:paraId="5A21A4B2">
            <w:pPr>
              <w:pStyle w:val="21"/>
              <w:spacing w:before="186" w:line="228" w:lineRule="auto"/>
              <w:ind w:left="318" w:leftChars="0"/>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服务范围</w:t>
            </w:r>
          </w:p>
        </w:tc>
        <w:tc>
          <w:tcPr>
            <w:tcW w:w="7189" w:type="dxa"/>
            <w:vAlign w:val="top"/>
          </w:tcPr>
          <w:p w14:paraId="3E8CB72E">
            <w:pPr>
              <w:pStyle w:val="21"/>
              <w:spacing w:before="186" w:line="228" w:lineRule="auto"/>
              <w:ind w:firstLine="250" w:firstLineChars="100"/>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详见第三部分服务采购需求</w:t>
            </w:r>
          </w:p>
        </w:tc>
      </w:tr>
      <w:tr w14:paraId="68256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009" w:type="dxa"/>
            <w:vAlign w:val="top"/>
          </w:tcPr>
          <w:p w14:paraId="726DE245">
            <w:pPr>
              <w:pStyle w:val="21"/>
              <w:spacing w:before="313" w:line="189" w:lineRule="auto"/>
              <w:jc w:val="center"/>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6"/>
                <w:sz w:val="24"/>
                <w:szCs w:val="24"/>
                <w:highlight w:val="none"/>
                <w:lang w:val="en-US" w:eastAsia="zh-CN"/>
              </w:rPr>
              <w:t>9</w:t>
            </w:r>
          </w:p>
        </w:tc>
        <w:tc>
          <w:tcPr>
            <w:tcW w:w="1970" w:type="dxa"/>
            <w:vAlign w:val="top"/>
          </w:tcPr>
          <w:p w14:paraId="2DF0706F">
            <w:pPr>
              <w:pStyle w:val="21"/>
              <w:spacing w:before="186" w:line="228" w:lineRule="auto"/>
              <w:ind w:left="318" w:leftChars="0"/>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服务要求</w:t>
            </w:r>
          </w:p>
        </w:tc>
        <w:tc>
          <w:tcPr>
            <w:tcW w:w="7189" w:type="dxa"/>
            <w:vAlign w:val="top"/>
          </w:tcPr>
          <w:p w14:paraId="44F7D652">
            <w:pPr>
              <w:pStyle w:val="21"/>
              <w:spacing w:before="186" w:line="228" w:lineRule="auto"/>
              <w:ind w:firstLine="250" w:firstLineChars="100"/>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详见第三部分服务采购需求</w:t>
            </w:r>
          </w:p>
        </w:tc>
      </w:tr>
      <w:tr w14:paraId="174B2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9" w:type="dxa"/>
            <w:vAlign w:val="top"/>
          </w:tcPr>
          <w:p w14:paraId="2285A921">
            <w:pPr>
              <w:spacing w:line="466" w:lineRule="auto"/>
              <w:jc w:val="center"/>
              <w:rPr>
                <w:rFonts w:hint="eastAsia" w:ascii="仿宋" w:hAnsi="仿宋" w:eastAsia="仿宋" w:cs="仿宋"/>
                <w:color w:val="auto"/>
                <w:sz w:val="24"/>
                <w:szCs w:val="24"/>
                <w:highlight w:val="none"/>
              </w:rPr>
            </w:pPr>
          </w:p>
          <w:p w14:paraId="7EB184C8">
            <w:pPr>
              <w:pStyle w:val="21"/>
              <w:spacing w:before="75"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10</w:t>
            </w:r>
          </w:p>
        </w:tc>
        <w:tc>
          <w:tcPr>
            <w:tcW w:w="1970" w:type="dxa"/>
            <w:vAlign w:val="top"/>
          </w:tcPr>
          <w:p w14:paraId="1D710075">
            <w:pPr>
              <w:pStyle w:val="21"/>
              <w:spacing w:before="171" w:line="256" w:lineRule="auto"/>
              <w:ind w:left="105" w:leftChars="0" w:right="128" w:rightChars="0" w:firstLine="1" w:firstLineChars="0"/>
              <w:jc w:val="both"/>
              <w:rPr>
                <w:rFonts w:hint="eastAsia" w:ascii="仿宋" w:hAnsi="仿宋" w:eastAsia="仿宋" w:cs="仿宋"/>
                <w:color w:val="auto"/>
                <w:spacing w:val="5"/>
                <w:sz w:val="24"/>
                <w:szCs w:val="24"/>
                <w:highlight w:val="none"/>
              </w:rPr>
            </w:pPr>
            <w:r>
              <w:rPr>
                <w:rFonts w:hint="eastAsia" w:ascii="仿宋" w:hAnsi="仿宋" w:eastAsia="仿宋" w:cs="仿宋"/>
                <w:color w:val="auto"/>
                <w:spacing w:val="28"/>
                <w:sz w:val="24"/>
                <w:szCs w:val="24"/>
                <w:highlight w:val="none"/>
              </w:rPr>
              <w:t>提交征集响应文</w:t>
            </w:r>
            <w:r>
              <w:rPr>
                <w:rFonts w:hint="eastAsia" w:ascii="仿宋" w:hAnsi="仿宋" w:eastAsia="仿宋" w:cs="仿宋"/>
                <w:color w:val="auto"/>
                <w:spacing w:val="21"/>
                <w:sz w:val="24"/>
                <w:szCs w:val="24"/>
                <w:highlight w:val="none"/>
              </w:rPr>
              <w:t>件截止时</w:t>
            </w:r>
            <w:r>
              <w:rPr>
                <w:rFonts w:hint="eastAsia" w:ascii="仿宋" w:hAnsi="仿宋" w:eastAsia="仿宋" w:cs="仿宋"/>
                <w:color w:val="auto"/>
                <w:spacing w:val="-62"/>
                <w:sz w:val="24"/>
                <w:szCs w:val="24"/>
                <w:highlight w:val="none"/>
              </w:rPr>
              <w:t xml:space="preserve"> </w:t>
            </w:r>
            <w:r>
              <w:rPr>
                <w:rFonts w:hint="eastAsia" w:ascii="仿宋" w:hAnsi="仿宋" w:eastAsia="仿宋" w:cs="仿宋"/>
                <w:color w:val="auto"/>
                <w:spacing w:val="21"/>
                <w:sz w:val="24"/>
                <w:szCs w:val="24"/>
                <w:highlight w:val="none"/>
              </w:rPr>
              <w:t>间及地</w:t>
            </w:r>
            <w:r>
              <w:rPr>
                <w:rFonts w:hint="eastAsia" w:ascii="仿宋" w:hAnsi="仿宋" w:eastAsia="仿宋" w:cs="仿宋"/>
                <w:color w:val="auto"/>
                <w:spacing w:val="1"/>
                <w:sz w:val="24"/>
                <w:szCs w:val="24"/>
                <w:highlight w:val="none"/>
              </w:rPr>
              <w:t>点</w:t>
            </w:r>
          </w:p>
        </w:tc>
        <w:tc>
          <w:tcPr>
            <w:tcW w:w="7189" w:type="dxa"/>
            <w:vAlign w:val="top"/>
          </w:tcPr>
          <w:p w14:paraId="5A9F1C58">
            <w:pPr>
              <w:pStyle w:val="21"/>
              <w:spacing w:before="67" w:line="227" w:lineRule="auto"/>
              <w:ind w:left="116"/>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时间：2026年5月12日10时10分（北京时间）</w:t>
            </w:r>
          </w:p>
          <w:p w14:paraId="7844CB73">
            <w:pPr>
              <w:pStyle w:val="21"/>
              <w:spacing w:before="93" w:line="243" w:lineRule="auto"/>
              <w:ind w:left="115" w:leftChars="0" w:right="149" w:rightChars="0"/>
              <w:rPr>
                <w:rFonts w:hint="eastAsia" w:ascii="仿宋" w:hAnsi="仿宋" w:eastAsia="仿宋" w:cs="仿宋"/>
                <w:color w:val="auto"/>
                <w:spacing w:val="7"/>
                <w:sz w:val="24"/>
                <w:szCs w:val="24"/>
                <w:highlight w:val="none"/>
              </w:rPr>
            </w:pPr>
            <w:r>
              <w:rPr>
                <w:rFonts w:hint="eastAsia" w:ascii="仿宋" w:hAnsi="仿宋" w:eastAsia="仿宋" w:cs="仿宋"/>
                <w:snapToGrid w:val="0"/>
                <w:color w:val="auto"/>
                <w:kern w:val="0"/>
                <w:sz w:val="24"/>
                <w:szCs w:val="24"/>
                <w:highlight w:val="none"/>
                <w:lang w:val="en-US" w:eastAsia="zh-CN" w:bidi="ar-SA"/>
              </w:rPr>
              <w:t>地点：供应商在政采云平台</w:t>
            </w:r>
            <w:r>
              <w:rPr>
                <w:rFonts w:hint="eastAsia" w:ascii="仿宋" w:hAnsi="仿宋" w:eastAsia="仿宋" w:cs="仿宋"/>
                <w:snapToGrid w:val="0"/>
                <w:color w:val="auto"/>
                <w:kern w:val="0"/>
                <w:sz w:val="24"/>
                <w:szCs w:val="24"/>
                <w:highlight w:val="none"/>
                <w:lang w:val="en-US" w:eastAsia="zh-CN" w:bidi="ar-SA"/>
              </w:rPr>
              <w:fldChar w:fldCharType="begin"/>
            </w:r>
            <w:r>
              <w:rPr>
                <w:rFonts w:hint="eastAsia" w:ascii="仿宋" w:hAnsi="仿宋" w:eastAsia="仿宋" w:cs="仿宋"/>
                <w:snapToGrid w:val="0"/>
                <w:color w:val="auto"/>
                <w:kern w:val="0"/>
                <w:sz w:val="24"/>
                <w:szCs w:val="24"/>
                <w:highlight w:val="none"/>
                <w:lang w:val="en-US" w:eastAsia="zh-CN" w:bidi="ar-SA"/>
              </w:rPr>
              <w:instrText xml:space="preserve"> HYPERLINK "http://www.zcygov.cn/" </w:instrText>
            </w:r>
            <w:r>
              <w:rPr>
                <w:rFonts w:hint="eastAsia" w:ascii="仿宋" w:hAnsi="仿宋" w:eastAsia="仿宋" w:cs="仿宋"/>
                <w:snapToGrid w:val="0"/>
                <w:color w:val="auto"/>
                <w:kern w:val="0"/>
                <w:sz w:val="24"/>
                <w:szCs w:val="24"/>
                <w:highlight w:val="none"/>
                <w:lang w:val="en-US" w:eastAsia="zh-CN" w:bidi="ar-SA"/>
              </w:rPr>
              <w:fldChar w:fldCharType="separate"/>
            </w:r>
            <w:r>
              <w:rPr>
                <w:rFonts w:hint="eastAsia" w:ascii="仿宋" w:hAnsi="仿宋" w:eastAsia="仿宋" w:cs="仿宋"/>
                <w:snapToGrid w:val="0"/>
                <w:color w:val="auto"/>
                <w:kern w:val="0"/>
                <w:sz w:val="24"/>
                <w:szCs w:val="24"/>
                <w:highlight w:val="none"/>
                <w:lang w:val="en-US" w:eastAsia="zh-CN" w:bidi="ar-SA"/>
              </w:rPr>
              <w:t>http://www.zcygov.cn/</w:t>
            </w:r>
            <w:r>
              <w:rPr>
                <w:rFonts w:hint="eastAsia" w:ascii="仿宋" w:hAnsi="仿宋" w:eastAsia="仿宋" w:cs="仿宋"/>
                <w:snapToGrid w:val="0"/>
                <w:color w:val="auto"/>
                <w:kern w:val="0"/>
                <w:sz w:val="24"/>
                <w:szCs w:val="24"/>
                <w:highlight w:val="none"/>
                <w:lang w:val="en-US" w:eastAsia="zh-CN" w:bidi="ar-SA"/>
              </w:rPr>
              <w:fldChar w:fldCharType="end"/>
            </w:r>
            <w:r>
              <w:rPr>
                <w:rFonts w:hint="eastAsia" w:ascii="仿宋" w:hAnsi="仿宋" w:eastAsia="仿宋" w:cs="仿宋"/>
                <w:snapToGrid w:val="0"/>
                <w:color w:val="auto"/>
                <w:kern w:val="0"/>
                <w:sz w:val="24"/>
                <w:szCs w:val="24"/>
                <w:highlight w:val="none"/>
                <w:lang w:val="en-US" w:eastAsia="zh-CN" w:bidi="ar-SA"/>
              </w:rPr>
              <w:t>不见面开标大厅远程参加开标活动</w:t>
            </w:r>
          </w:p>
        </w:tc>
      </w:tr>
      <w:tr w14:paraId="06000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9" w:type="dxa"/>
            <w:vAlign w:val="top"/>
          </w:tcPr>
          <w:p w14:paraId="4E1BCB59">
            <w:pPr>
              <w:spacing w:line="281" w:lineRule="auto"/>
              <w:jc w:val="both"/>
              <w:rPr>
                <w:rFonts w:hint="eastAsia" w:ascii="仿宋" w:hAnsi="仿宋" w:eastAsia="仿宋" w:cs="仿宋"/>
                <w:color w:val="auto"/>
                <w:sz w:val="24"/>
                <w:szCs w:val="24"/>
                <w:highlight w:val="none"/>
              </w:rPr>
            </w:pPr>
          </w:p>
          <w:p w14:paraId="450A394A">
            <w:pPr>
              <w:spacing w:line="282" w:lineRule="auto"/>
              <w:jc w:val="both"/>
              <w:rPr>
                <w:rFonts w:hint="eastAsia" w:ascii="仿宋" w:hAnsi="仿宋" w:eastAsia="仿宋" w:cs="仿宋"/>
                <w:color w:val="auto"/>
                <w:sz w:val="24"/>
                <w:szCs w:val="24"/>
                <w:highlight w:val="none"/>
              </w:rPr>
            </w:pPr>
          </w:p>
          <w:p w14:paraId="17082C5C">
            <w:pPr>
              <w:pStyle w:val="21"/>
              <w:spacing w:before="75"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11</w:t>
            </w:r>
          </w:p>
        </w:tc>
        <w:tc>
          <w:tcPr>
            <w:tcW w:w="1970" w:type="dxa"/>
            <w:vAlign w:val="top"/>
          </w:tcPr>
          <w:p w14:paraId="03EDB9CF">
            <w:pPr>
              <w:spacing w:line="263" w:lineRule="auto"/>
              <w:rPr>
                <w:rFonts w:hint="eastAsia" w:ascii="仿宋" w:hAnsi="仿宋" w:eastAsia="仿宋" w:cs="仿宋"/>
                <w:color w:val="auto"/>
                <w:sz w:val="24"/>
                <w:szCs w:val="24"/>
                <w:highlight w:val="none"/>
              </w:rPr>
            </w:pPr>
          </w:p>
          <w:p w14:paraId="1D8962D9">
            <w:pPr>
              <w:spacing w:line="263" w:lineRule="auto"/>
              <w:rPr>
                <w:rFonts w:hint="eastAsia" w:ascii="仿宋" w:hAnsi="仿宋" w:eastAsia="仿宋" w:cs="仿宋"/>
                <w:color w:val="auto"/>
                <w:sz w:val="24"/>
                <w:szCs w:val="24"/>
                <w:highlight w:val="none"/>
              </w:rPr>
            </w:pPr>
          </w:p>
          <w:p w14:paraId="76B8967B">
            <w:pPr>
              <w:pStyle w:val="21"/>
              <w:spacing w:before="75" w:line="228" w:lineRule="auto"/>
              <w:rPr>
                <w:rFonts w:hint="eastAsia" w:ascii="仿宋" w:hAnsi="仿宋" w:eastAsia="仿宋" w:cs="仿宋"/>
                <w:color w:val="auto"/>
                <w:spacing w:val="5"/>
                <w:sz w:val="24"/>
                <w:szCs w:val="24"/>
                <w:highlight w:val="none"/>
              </w:rPr>
            </w:pPr>
            <w:r>
              <w:rPr>
                <w:rFonts w:hint="eastAsia" w:ascii="仿宋" w:hAnsi="仿宋" w:eastAsia="仿宋" w:cs="仿宋"/>
                <w:color w:val="auto"/>
                <w:spacing w:val="6"/>
                <w:sz w:val="24"/>
                <w:szCs w:val="24"/>
                <w:highlight w:val="none"/>
              </w:rPr>
              <w:t>开标时间及地点</w:t>
            </w:r>
          </w:p>
        </w:tc>
        <w:tc>
          <w:tcPr>
            <w:tcW w:w="7189" w:type="dxa"/>
            <w:vAlign w:val="top"/>
          </w:tcPr>
          <w:p w14:paraId="4F6E561F">
            <w:pPr>
              <w:pStyle w:val="21"/>
              <w:spacing w:before="67" w:line="227" w:lineRule="auto"/>
              <w:ind w:left="116"/>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开标时间：2026年5月12日10时10分（北京时间）</w:t>
            </w:r>
          </w:p>
          <w:p w14:paraId="40F4BB91">
            <w:pPr>
              <w:pStyle w:val="21"/>
              <w:spacing w:before="59" w:line="365" w:lineRule="exact"/>
              <w:ind w:left="115"/>
              <w:rPr>
                <w:rFonts w:hint="eastAsia" w:ascii="仿宋" w:hAnsi="仿宋" w:eastAsia="仿宋" w:cs="仿宋"/>
                <w:color w:val="auto"/>
                <w:sz w:val="24"/>
                <w:szCs w:val="24"/>
                <w:highlight w:val="none"/>
              </w:rPr>
            </w:pPr>
            <w:r>
              <w:rPr>
                <w:rFonts w:hint="eastAsia" w:ascii="仿宋" w:hAnsi="仿宋" w:eastAsia="仿宋" w:cs="仿宋"/>
                <w:color w:val="auto"/>
                <w:spacing w:val="8"/>
                <w:position w:val="9"/>
                <w:sz w:val="24"/>
                <w:szCs w:val="24"/>
                <w:highlight w:val="none"/>
              </w:rPr>
              <w:t>供应商开标地点：供应商在政采云平台</w:t>
            </w:r>
          </w:p>
          <w:p w14:paraId="5FD4009B">
            <w:pPr>
              <w:pStyle w:val="21"/>
              <w:spacing w:line="221" w:lineRule="auto"/>
              <w:rPr>
                <w:rFonts w:hint="eastAsia" w:ascii="仿宋" w:hAnsi="仿宋" w:eastAsia="仿宋" w:cs="仿宋"/>
                <w:color w:val="auto"/>
                <w:spacing w:val="7"/>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"http://www.zcygov.cn/"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rPr>
              <w:t>www</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rPr>
              <w:t>zcygov</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rPr>
              <w:t>cn</w:t>
            </w:r>
            <w:r>
              <w:rPr>
                <w:rFonts w:hint="eastAsia" w:ascii="仿宋" w:hAnsi="仿宋" w:eastAsia="仿宋" w:cs="仿宋"/>
                <w:color w:val="auto"/>
                <w:spacing w:val="11"/>
                <w:sz w:val="24"/>
                <w:szCs w:val="24"/>
                <w:highlight w:val="none"/>
              </w:rPr>
              <w:t>/</w:t>
            </w:r>
            <w:r>
              <w:rPr>
                <w:rFonts w:hint="eastAsia" w:ascii="仿宋" w:hAnsi="仿宋" w:eastAsia="仿宋" w:cs="仿宋"/>
                <w:color w:val="auto"/>
                <w:spacing w:val="11"/>
                <w:sz w:val="24"/>
                <w:szCs w:val="24"/>
                <w:highlight w:val="none"/>
              </w:rPr>
              <w:fldChar w:fldCharType="end"/>
            </w:r>
            <w:r>
              <w:rPr>
                <w:rFonts w:hint="eastAsia" w:ascii="仿宋" w:hAnsi="仿宋" w:eastAsia="仿宋" w:cs="仿宋"/>
                <w:color w:val="auto"/>
                <w:spacing w:val="11"/>
                <w:sz w:val="24"/>
                <w:szCs w:val="24"/>
                <w:highlight w:val="none"/>
              </w:rPr>
              <w:t>不见面</w:t>
            </w:r>
            <w:r>
              <w:rPr>
                <w:rFonts w:hint="eastAsia" w:ascii="仿宋" w:hAnsi="仿宋" w:eastAsia="仿宋" w:cs="仿宋"/>
                <w:color w:val="auto"/>
                <w:spacing w:val="8"/>
                <w:sz w:val="24"/>
                <w:szCs w:val="24"/>
                <w:highlight w:val="none"/>
              </w:rPr>
              <w:t>现场开标地点：请登录政采云投标客户端投标</w:t>
            </w:r>
          </w:p>
        </w:tc>
      </w:tr>
      <w:tr w14:paraId="6FE49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9" w:type="dxa"/>
            <w:vAlign w:val="center"/>
          </w:tcPr>
          <w:p w14:paraId="53514F2D">
            <w:pPr>
              <w:pStyle w:val="21"/>
              <w:spacing w:before="75"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12</w:t>
            </w:r>
          </w:p>
        </w:tc>
        <w:tc>
          <w:tcPr>
            <w:tcW w:w="1970" w:type="dxa"/>
            <w:vAlign w:val="top"/>
          </w:tcPr>
          <w:p w14:paraId="09AC121D">
            <w:pPr>
              <w:pStyle w:val="21"/>
              <w:spacing w:before="288" w:line="240" w:lineRule="auto"/>
              <w:ind w:left="311" w:leftChars="0"/>
              <w:rPr>
                <w:rFonts w:hint="eastAsia" w:ascii="仿宋" w:hAnsi="仿宋" w:eastAsia="仿宋" w:cs="仿宋"/>
                <w:color w:val="auto"/>
                <w:spacing w:val="5"/>
                <w:sz w:val="24"/>
                <w:szCs w:val="24"/>
                <w:highlight w:val="none"/>
              </w:rPr>
            </w:pPr>
            <w:r>
              <w:rPr>
                <w:rFonts w:hint="eastAsia" w:ascii="仿宋" w:hAnsi="仿宋" w:eastAsia="仿宋" w:cs="仿宋"/>
                <w:color w:val="auto"/>
                <w:spacing w:val="6"/>
                <w:sz w:val="24"/>
                <w:szCs w:val="24"/>
                <w:highlight w:val="none"/>
              </w:rPr>
              <w:t>合同履行期限</w:t>
            </w:r>
          </w:p>
        </w:tc>
        <w:tc>
          <w:tcPr>
            <w:tcW w:w="7189" w:type="dxa"/>
            <w:vAlign w:val="top"/>
          </w:tcPr>
          <w:p w14:paraId="6B2E24BD">
            <w:pPr>
              <w:pStyle w:val="21"/>
              <w:spacing w:before="286" w:line="240" w:lineRule="auto"/>
              <w:ind w:left="118" w:leftChars="0"/>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lang w:val="en-US" w:eastAsia="zh-CN"/>
              </w:rPr>
              <w:t>具体时间以签订合同为准</w:t>
            </w:r>
          </w:p>
        </w:tc>
      </w:tr>
      <w:tr w14:paraId="5873D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9" w:type="dxa"/>
            <w:vAlign w:val="center"/>
          </w:tcPr>
          <w:p w14:paraId="53AC957B">
            <w:pPr>
              <w:pStyle w:val="21"/>
              <w:spacing w:before="278"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13</w:t>
            </w:r>
          </w:p>
        </w:tc>
        <w:tc>
          <w:tcPr>
            <w:tcW w:w="1970" w:type="dxa"/>
            <w:vAlign w:val="top"/>
          </w:tcPr>
          <w:p w14:paraId="36D0F1B1">
            <w:pPr>
              <w:pStyle w:val="21"/>
              <w:spacing w:before="241" w:line="227" w:lineRule="auto"/>
              <w:ind w:left="570" w:leftChars="0"/>
              <w:rPr>
                <w:rFonts w:hint="eastAsia" w:ascii="仿宋" w:hAnsi="仿宋" w:eastAsia="仿宋" w:cs="仿宋"/>
                <w:color w:val="auto"/>
                <w:spacing w:val="5"/>
                <w:sz w:val="24"/>
                <w:szCs w:val="24"/>
                <w:highlight w:val="none"/>
              </w:rPr>
            </w:pPr>
            <w:r>
              <w:rPr>
                <w:rFonts w:hint="eastAsia" w:ascii="仿宋" w:hAnsi="仿宋" w:eastAsia="仿宋" w:cs="仿宋"/>
                <w:color w:val="auto"/>
                <w:spacing w:val="1"/>
                <w:sz w:val="24"/>
                <w:szCs w:val="24"/>
                <w:highlight w:val="none"/>
              </w:rPr>
              <w:t>资金来源</w:t>
            </w:r>
          </w:p>
        </w:tc>
        <w:tc>
          <w:tcPr>
            <w:tcW w:w="7189" w:type="dxa"/>
            <w:vAlign w:val="top"/>
          </w:tcPr>
          <w:p w14:paraId="275EA154">
            <w:pPr>
              <w:pStyle w:val="21"/>
              <w:spacing w:before="241" w:line="229" w:lineRule="auto"/>
              <w:ind w:left="116" w:leftChars="0"/>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财政资金</w:t>
            </w:r>
          </w:p>
        </w:tc>
      </w:tr>
      <w:tr w14:paraId="06E4E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9" w:type="dxa"/>
            <w:vAlign w:val="center"/>
          </w:tcPr>
          <w:p w14:paraId="6C0F94D0">
            <w:pPr>
              <w:pStyle w:val="21"/>
              <w:spacing w:before="284"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14</w:t>
            </w:r>
          </w:p>
        </w:tc>
        <w:tc>
          <w:tcPr>
            <w:tcW w:w="1970" w:type="dxa"/>
            <w:vAlign w:val="top"/>
          </w:tcPr>
          <w:p w14:paraId="43552A2B">
            <w:pPr>
              <w:pStyle w:val="21"/>
              <w:spacing w:before="247" w:line="227" w:lineRule="auto"/>
              <w:ind w:left="550" w:leftChars="0"/>
              <w:rPr>
                <w:rFonts w:hint="eastAsia" w:ascii="仿宋" w:hAnsi="仿宋" w:eastAsia="仿宋" w:cs="仿宋"/>
                <w:color w:val="auto"/>
                <w:spacing w:val="1"/>
                <w:sz w:val="24"/>
                <w:szCs w:val="24"/>
                <w:highlight w:val="none"/>
              </w:rPr>
            </w:pPr>
            <w:r>
              <w:rPr>
                <w:rFonts w:hint="eastAsia" w:ascii="仿宋" w:hAnsi="仿宋" w:eastAsia="仿宋" w:cs="仿宋"/>
                <w:color w:val="auto"/>
                <w:spacing w:val="5"/>
                <w:sz w:val="24"/>
                <w:szCs w:val="24"/>
                <w:highlight w:val="none"/>
              </w:rPr>
              <w:t>付款方式</w:t>
            </w:r>
          </w:p>
        </w:tc>
        <w:tc>
          <w:tcPr>
            <w:tcW w:w="7189" w:type="dxa"/>
            <w:vAlign w:val="top"/>
          </w:tcPr>
          <w:p w14:paraId="0CD134E7">
            <w:pPr>
              <w:pStyle w:val="21"/>
              <w:spacing w:before="246" w:line="228" w:lineRule="auto"/>
              <w:ind w:left="117" w:leftChars="0"/>
              <w:rPr>
                <w:rFonts w:hint="eastAsia" w:ascii="仿宋" w:hAnsi="仿宋" w:eastAsia="仿宋" w:cs="仿宋"/>
                <w:color w:val="auto"/>
                <w:spacing w:val="5"/>
                <w:sz w:val="24"/>
                <w:szCs w:val="24"/>
                <w:highlight w:val="none"/>
                <w:lang w:val="en-US" w:eastAsia="zh-CN"/>
              </w:rPr>
            </w:pPr>
            <w:r>
              <w:rPr>
                <w:rFonts w:hint="eastAsia" w:ascii="仿宋" w:hAnsi="仿宋" w:eastAsia="仿宋" w:cs="仿宋"/>
                <w:color w:val="auto"/>
                <w:spacing w:val="6"/>
                <w:sz w:val="24"/>
                <w:szCs w:val="24"/>
                <w:highlight w:val="none"/>
              </w:rPr>
              <w:t>签订合同中约定</w:t>
            </w:r>
          </w:p>
        </w:tc>
      </w:tr>
      <w:tr w14:paraId="7ADA0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9" w:type="dxa"/>
            <w:vAlign w:val="center"/>
          </w:tcPr>
          <w:p w14:paraId="51454B7D">
            <w:pPr>
              <w:pStyle w:val="21"/>
              <w:spacing w:before="297"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10"/>
                <w:sz w:val="24"/>
                <w:szCs w:val="24"/>
                <w:highlight w:val="none"/>
                <w:lang w:val="en-US" w:eastAsia="zh-CN"/>
              </w:rPr>
              <w:t>15</w:t>
            </w:r>
          </w:p>
        </w:tc>
        <w:tc>
          <w:tcPr>
            <w:tcW w:w="1970" w:type="dxa"/>
            <w:vAlign w:val="top"/>
          </w:tcPr>
          <w:p w14:paraId="2D0C7A9A">
            <w:pPr>
              <w:pStyle w:val="21"/>
              <w:spacing w:before="260" w:line="227" w:lineRule="auto"/>
              <w:ind w:left="196" w:leftChars="0"/>
              <w:jc w:val="center"/>
              <w:rPr>
                <w:rFonts w:hint="eastAsia" w:ascii="仿宋" w:hAnsi="仿宋" w:eastAsia="仿宋" w:cs="仿宋"/>
                <w:color w:val="auto"/>
                <w:spacing w:val="1"/>
                <w:sz w:val="24"/>
                <w:szCs w:val="24"/>
                <w:highlight w:val="none"/>
              </w:rPr>
            </w:pPr>
            <w:r>
              <w:rPr>
                <w:rFonts w:hint="eastAsia" w:ascii="仿宋" w:hAnsi="仿宋" w:eastAsia="仿宋" w:cs="仿宋"/>
                <w:color w:val="auto"/>
                <w:spacing w:val="6"/>
                <w:sz w:val="24"/>
                <w:szCs w:val="24"/>
                <w:highlight w:val="none"/>
              </w:rPr>
              <w:t>是否允许联合体</w:t>
            </w:r>
          </w:p>
        </w:tc>
        <w:tc>
          <w:tcPr>
            <w:tcW w:w="7189" w:type="dxa"/>
            <w:vAlign w:val="top"/>
          </w:tcPr>
          <w:p w14:paraId="0550E905">
            <w:pPr>
              <w:pStyle w:val="21"/>
              <w:spacing w:before="259" w:line="228" w:lineRule="auto"/>
              <w:ind w:left="129" w:leftChars="0"/>
              <w:rPr>
                <w:rFonts w:hint="eastAsia" w:ascii="仿宋" w:hAnsi="仿宋" w:eastAsia="仿宋" w:cs="仿宋"/>
                <w:color w:val="auto"/>
                <w:spacing w:val="5"/>
                <w:sz w:val="24"/>
                <w:szCs w:val="24"/>
                <w:highlight w:val="none"/>
                <w:lang w:val="en-US" w:eastAsia="zh-CN"/>
              </w:rPr>
            </w:pPr>
            <w:r>
              <w:rPr>
                <w:rFonts w:hint="eastAsia" w:ascii="仿宋" w:hAnsi="仿宋" w:eastAsia="仿宋" w:cs="仿宋"/>
                <w:color w:val="auto"/>
                <w:sz w:val="24"/>
                <w:szCs w:val="24"/>
                <w:highlight w:val="none"/>
                <w:u w:val="none" w:color="auto"/>
              </w:rPr>
              <w:t>否</w:t>
            </w:r>
          </w:p>
        </w:tc>
      </w:tr>
      <w:tr w14:paraId="4BC20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9" w:type="dxa"/>
            <w:vAlign w:val="center"/>
          </w:tcPr>
          <w:p w14:paraId="69565020">
            <w:pPr>
              <w:pStyle w:val="21"/>
              <w:spacing w:before="290"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10"/>
                <w:sz w:val="24"/>
                <w:szCs w:val="24"/>
                <w:highlight w:val="none"/>
                <w:lang w:val="en-US" w:eastAsia="zh-CN"/>
              </w:rPr>
              <w:t>16</w:t>
            </w:r>
          </w:p>
        </w:tc>
        <w:tc>
          <w:tcPr>
            <w:tcW w:w="1970" w:type="dxa"/>
            <w:vAlign w:val="top"/>
          </w:tcPr>
          <w:p w14:paraId="731B14BB">
            <w:pPr>
              <w:pStyle w:val="21"/>
              <w:spacing w:before="253" w:line="227" w:lineRule="auto"/>
              <w:ind w:left="316" w:leftChars="0"/>
              <w:rPr>
                <w:rFonts w:hint="eastAsia" w:ascii="仿宋" w:hAnsi="仿宋" w:eastAsia="仿宋" w:cs="仿宋"/>
                <w:color w:val="auto"/>
                <w:spacing w:val="1"/>
                <w:sz w:val="24"/>
                <w:szCs w:val="24"/>
                <w:highlight w:val="none"/>
              </w:rPr>
            </w:pPr>
            <w:r>
              <w:rPr>
                <w:rFonts w:hint="eastAsia" w:ascii="仿宋" w:hAnsi="仿宋" w:eastAsia="仿宋" w:cs="仿宋"/>
                <w:color w:val="auto"/>
                <w:spacing w:val="5"/>
                <w:sz w:val="24"/>
                <w:szCs w:val="24"/>
                <w:highlight w:val="none"/>
              </w:rPr>
              <w:t>是否允许分包</w:t>
            </w:r>
          </w:p>
        </w:tc>
        <w:tc>
          <w:tcPr>
            <w:tcW w:w="7189" w:type="dxa"/>
            <w:vAlign w:val="top"/>
          </w:tcPr>
          <w:p w14:paraId="521BE1D7">
            <w:pPr>
              <w:pStyle w:val="21"/>
              <w:spacing w:before="253" w:line="227" w:lineRule="auto"/>
              <w:ind w:left="121" w:leftChars="0"/>
              <w:rPr>
                <w:rFonts w:hint="eastAsia" w:ascii="仿宋" w:hAnsi="仿宋" w:eastAsia="仿宋" w:cs="仿宋"/>
                <w:color w:val="auto"/>
                <w:spacing w:val="5"/>
                <w:sz w:val="24"/>
                <w:szCs w:val="24"/>
                <w:highlight w:val="none"/>
                <w:lang w:val="en-US" w:eastAsia="zh-CN"/>
              </w:rPr>
            </w:pPr>
            <w:r>
              <w:rPr>
                <w:rFonts w:hint="eastAsia" w:ascii="仿宋" w:hAnsi="仿宋" w:eastAsia="仿宋" w:cs="仿宋"/>
                <w:color w:val="auto"/>
                <w:spacing w:val="2"/>
                <w:sz w:val="24"/>
                <w:szCs w:val="24"/>
                <w:highlight w:val="none"/>
              </w:rPr>
              <w:t>不允许</w:t>
            </w:r>
          </w:p>
        </w:tc>
      </w:tr>
      <w:tr w14:paraId="3CB74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09" w:type="dxa"/>
            <w:tcBorders>
              <w:left w:val="single" w:color="auto" w:sz="4" w:space="0"/>
            </w:tcBorders>
            <w:vAlign w:val="center"/>
          </w:tcPr>
          <w:p w14:paraId="67A9364F">
            <w:pPr>
              <w:pStyle w:val="21"/>
              <w:spacing w:before="75" w:line="189" w:lineRule="auto"/>
              <w:jc w:val="center"/>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10"/>
                <w:sz w:val="24"/>
                <w:szCs w:val="24"/>
                <w:highlight w:val="none"/>
                <w:lang w:val="en-US" w:eastAsia="zh-CN"/>
              </w:rPr>
              <w:t>17</w:t>
            </w:r>
          </w:p>
        </w:tc>
        <w:tc>
          <w:tcPr>
            <w:tcW w:w="1970" w:type="dxa"/>
            <w:vAlign w:val="top"/>
          </w:tcPr>
          <w:p w14:paraId="0AE601C0">
            <w:pPr>
              <w:pStyle w:val="21"/>
              <w:spacing w:before="198" w:line="242" w:lineRule="auto"/>
              <w:ind w:left="925" w:leftChars="0" w:right="196" w:rightChars="0" w:hanging="732" w:firstLineChars="0"/>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6"/>
                <w:sz w:val="24"/>
                <w:szCs w:val="24"/>
                <w:highlight w:val="none"/>
              </w:rPr>
              <w:t>征集项目服务对</w:t>
            </w:r>
            <w:r>
              <w:rPr>
                <w:rFonts w:hint="eastAsia" w:ascii="仿宋" w:hAnsi="仿宋" w:eastAsia="仿宋" w:cs="仿宋"/>
                <w:color w:val="auto"/>
                <w:sz w:val="24"/>
                <w:szCs w:val="24"/>
                <w:highlight w:val="none"/>
              </w:rPr>
              <w:t>象</w:t>
            </w:r>
          </w:p>
        </w:tc>
        <w:tc>
          <w:tcPr>
            <w:tcW w:w="7189" w:type="dxa"/>
            <w:vAlign w:val="center"/>
          </w:tcPr>
          <w:p w14:paraId="38A33B45">
            <w:pPr>
              <w:pStyle w:val="21"/>
              <w:spacing w:before="75" w:line="227" w:lineRule="auto"/>
              <w:jc w:val="both"/>
              <w:rPr>
                <w:rFonts w:hint="eastAsia" w:ascii="仿宋" w:hAnsi="仿宋" w:eastAsia="仿宋" w:cs="仿宋"/>
                <w:color w:val="auto"/>
                <w:spacing w:val="5"/>
                <w:sz w:val="24"/>
                <w:szCs w:val="24"/>
                <w:highlight w:val="none"/>
                <w:lang w:val="en-US" w:eastAsia="zh-CN"/>
              </w:rPr>
            </w:pPr>
            <w:r>
              <w:rPr>
                <w:rFonts w:hint="eastAsia" w:ascii="仿宋" w:hAnsi="仿宋" w:eastAsia="仿宋" w:cs="仿宋"/>
                <w:b/>
                <w:bCs/>
                <w:color w:val="auto"/>
                <w:sz w:val="24"/>
                <w:szCs w:val="24"/>
                <w:highlight w:val="none"/>
                <w:lang w:val="en-US" w:eastAsia="zh-CN"/>
              </w:rPr>
              <w:t>（指定采购单位）阿图什市住房和城乡建设局</w:t>
            </w:r>
          </w:p>
        </w:tc>
      </w:tr>
      <w:tr w14:paraId="5A752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1009" w:type="dxa"/>
            <w:tcBorders>
              <w:left w:val="single" w:color="auto" w:sz="4" w:space="0"/>
            </w:tcBorders>
            <w:shd w:val="clear" w:color="auto" w:fill="auto"/>
            <w:vAlign w:val="top"/>
          </w:tcPr>
          <w:p w14:paraId="694F692F">
            <w:pPr>
              <w:spacing w:line="249" w:lineRule="auto"/>
              <w:jc w:val="both"/>
              <w:rPr>
                <w:rFonts w:hint="eastAsia" w:ascii="仿宋" w:hAnsi="仿宋" w:eastAsia="仿宋" w:cs="仿宋"/>
                <w:color w:val="auto"/>
                <w:sz w:val="24"/>
                <w:szCs w:val="24"/>
                <w:highlight w:val="none"/>
              </w:rPr>
            </w:pPr>
          </w:p>
          <w:p w14:paraId="6006DC88">
            <w:pPr>
              <w:spacing w:line="249" w:lineRule="auto"/>
              <w:jc w:val="both"/>
              <w:rPr>
                <w:rFonts w:hint="eastAsia" w:ascii="仿宋" w:hAnsi="仿宋" w:eastAsia="仿宋" w:cs="仿宋"/>
                <w:color w:val="auto"/>
                <w:sz w:val="24"/>
                <w:szCs w:val="24"/>
                <w:highlight w:val="none"/>
              </w:rPr>
            </w:pPr>
          </w:p>
          <w:p w14:paraId="4CDB8591">
            <w:pPr>
              <w:spacing w:line="249" w:lineRule="auto"/>
              <w:jc w:val="both"/>
              <w:rPr>
                <w:rFonts w:hint="eastAsia" w:ascii="仿宋" w:hAnsi="仿宋" w:eastAsia="仿宋" w:cs="仿宋"/>
                <w:color w:val="auto"/>
                <w:sz w:val="24"/>
                <w:szCs w:val="24"/>
                <w:highlight w:val="none"/>
              </w:rPr>
            </w:pPr>
          </w:p>
          <w:p w14:paraId="0CA981F6">
            <w:pPr>
              <w:spacing w:line="249" w:lineRule="auto"/>
              <w:jc w:val="both"/>
              <w:rPr>
                <w:rFonts w:hint="eastAsia" w:ascii="仿宋" w:hAnsi="仿宋" w:eastAsia="仿宋" w:cs="仿宋"/>
                <w:color w:val="auto"/>
                <w:sz w:val="24"/>
                <w:szCs w:val="24"/>
                <w:highlight w:val="none"/>
              </w:rPr>
            </w:pPr>
          </w:p>
          <w:p w14:paraId="74CD23CF">
            <w:pPr>
              <w:spacing w:line="249" w:lineRule="auto"/>
              <w:jc w:val="both"/>
              <w:rPr>
                <w:rFonts w:hint="eastAsia" w:ascii="仿宋" w:hAnsi="仿宋" w:eastAsia="仿宋" w:cs="仿宋"/>
                <w:color w:val="auto"/>
                <w:sz w:val="24"/>
                <w:szCs w:val="24"/>
                <w:highlight w:val="none"/>
              </w:rPr>
            </w:pPr>
          </w:p>
          <w:p w14:paraId="077303DF">
            <w:pPr>
              <w:spacing w:line="249" w:lineRule="auto"/>
              <w:jc w:val="both"/>
              <w:rPr>
                <w:rFonts w:hint="eastAsia" w:ascii="仿宋" w:hAnsi="仿宋" w:eastAsia="仿宋" w:cs="仿宋"/>
                <w:color w:val="auto"/>
                <w:sz w:val="24"/>
                <w:szCs w:val="24"/>
                <w:highlight w:val="none"/>
              </w:rPr>
            </w:pPr>
          </w:p>
          <w:p w14:paraId="0B805AFE">
            <w:pPr>
              <w:pStyle w:val="21"/>
              <w:spacing w:before="75" w:line="189" w:lineRule="auto"/>
              <w:ind w:left="337" w:leftChars="0"/>
              <w:jc w:val="both"/>
              <w:rPr>
                <w:rFonts w:hint="eastAsia" w:ascii="仿宋" w:hAnsi="仿宋" w:eastAsia="仿宋" w:cs="仿宋"/>
                <w:snapToGrid w:val="0"/>
                <w:color w:val="auto"/>
                <w:spacing w:val="-10"/>
                <w:kern w:val="0"/>
                <w:sz w:val="24"/>
                <w:szCs w:val="24"/>
                <w:highlight w:val="none"/>
                <w:lang w:val="en-US" w:eastAsia="zh-CN" w:bidi="ar-SA"/>
              </w:rPr>
            </w:pPr>
            <w:r>
              <w:rPr>
                <w:rFonts w:hint="eastAsia" w:ascii="仿宋" w:hAnsi="仿宋" w:eastAsia="仿宋" w:cs="仿宋"/>
                <w:color w:val="auto"/>
                <w:spacing w:val="-4"/>
                <w:sz w:val="24"/>
                <w:szCs w:val="24"/>
                <w:highlight w:val="none"/>
                <w:lang w:val="en-US" w:eastAsia="zh-CN"/>
              </w:rPr>
              <w:t>18</w:t>
            </w:r>
          </w:p>
        </w:tc>
        <w:tc>
          <w:tcPr>
            <w:tcW w:w="1970" w:type="dxa"/>
            <w:shd w:val="clear" w:color="auto" w:fill="auto"/>
            <w:vAlign w:val="top"/>
          </w:tcPr>
          <w:p w14:paraId="1E9FA31E">
            <w:pPr>
              <w:spacing w:line="259" w:lineRule="auto"/>
              <w:jc w:val="both"/>
              <w:rPr>
                <w:rFonts w:hint="eastAsia" w:ascii="仿宋" w:hAnsi="仿宋" w:eastAsia="仿宋" w:cs="仿宋"/>
                <w:color w:val="auto"/>
                <w:sz w:val="24"/>
                <w:szCs w:val="24"/>
                <w:highlight w:val="none"/>
              </w:rPr>
            </w:pPr>
          </w:p>
          <w:p w14:paraId="12E822DF">
            <w:pPr>
              <w:spacing w:line="260" w:lineRule="auto"/>
              <w:jc w:val="both"/>
              <w:rPr>
                <w:rFonts w:hint="eastAsia" w:ascii="仿宋" w:hAnsi="仿宋" w:eastAsia="仿宋" w:cs="仿宋"/>
                <w:color w:val="auto"/>
                <w:sz w:val="24"/>
                <w:szCs w:val="24"/>
                <w:highlight w:val="none"/>
              </w:rPr>
            </w:pPr>
          </w:p>
          <w:p w14:paraId="5B32EC93">
            <w:pPr>
              <w:spacing w:line="260" w:lineRule="auto"/>
              <w:jc w:val="both"/>
              <w:rPr>
                <w:rFonts w:hint="eastAsia" w:ascii="仿宋" w:hAnsi="仿宋" w:eastAsia="仿宋" w:cs="仿宋"/>
                <w:color w:val="auto"/>
                <w:sz w:val="24"/>
                <w:szCs w:val="24"/>
                <w:highlight w:val="none"/>
              </w:rPr>
            </w:pPr>
          </w:p>
          <w:p w14:paraId="7A5F6555">
            <w:pPr>
              <w:spacing w:line="260" w:lineRule="auto"/>
              <w:jc w:val="both"/>
              <w:rPr>
                <w:rFonts w:hint="eastAsia" w:ascii="仿宋" w:hAnsi="仿宋" w:eastAsia="仿宋" w:cs="仿宋"/>
                <w:color w:val="auto"/>
                <w:sz w:val="24"/>
                <w:szCs w:val="24"/>
                <w:highlight w:val="none"/>
              </w:rPr>
            </w:pPr>
          </w:p>
          <w:p w14:paraId="04158B9E">
            <w:pPr>
              <w:spacing w:line="260" w:lineRule="auto"/>
              <w:jc w:val="both"/>
              <w:rPr>
                <w:rFonts w:hint="eastAsia" w:ascii="仿宋" w:hAnsi="仿宋" w:eastAsia="仿宋" w:cs="仿宋"/>
                <w:color w:val="auto"/>
                <w:sz w:val="24"/>
                <w:szCs w:val="24"/>
                <w:highlight w:val="none"/>
              </w:rPr>
            </w:pPr>
          </w:p>
          <w:p w14:paraId="7FA80478">
            <w:pPr>
              <w:pStyle w:val="21"/>
              <w:spacing w:before="75" w:line="242" w:lineRule="auto"/>
              <w:ind w:left="682" w:leftChars="0" w:right="181" w:rightChars="0" w:hanging="484" w:firstLineChars="0"/>
              <w:jc w:val="both"/>
              <w:rPr>
                <w:rFonts w:hint="eastAsia" w:ascii="仿宋" w:hAnsi="仿宋" w:eastAsia="仿宋" w:cs="仿宋"/>
                <w:snapToGrid w:val="0"/>
                <w:color w:val="auto"/>
                <w:spacing w:val="6"/>
                <w:kern w:val="0"/>
                <w:sz w:val="24"/>
                <w:szCs w:val="24"/>
                <w:highlight w:val="none"/>
                <w:lang w:val="en-US" w:eastAsia="en-US" w:bidi="ar-SA"/>
              </w:rPr>
            </w:pPr>
            <w:r>
              <w:rPr>
                <w:rFonts w:hint="eastAsia" w:ascii="仿宋" w:hAnsi="仿宋" w:eastAsia="仿宋" w:cs="仿宋"/>
                <w:color w:val="auto"/>
                <w:spacing w:val="6"/>
                <w:sz w:val="24"/>
                <w:szCs w:val="24"/>
                <w:highlight w:val="none"/>
              </w:rPr>
              <w:t>征集文件的澄清</w:t>
            </w:r>
            <w:r>
              <w:rPr>
                <w:rFonts w:hint="eastAsia" w:ascii="仿宋" w:hAnsi="仿宋" w:eastAsia="仿宋" w:cs="仿宋"/>
                <w:color w:val="auto"/>
                <w:spacing w:val="2"/>
                <w:sz w:val="24"/>
                <w:szCs w:val="24"/>
                <w:highlight w:val="none"/>
              </w:rPr>
              <w:t>与修改</w:t>
            </w:r>
          </w:p>
        </w:tc>
        <w:tc>
          <w:tcPr>
            <w:tcW w:w="7189" w:type="dxa"/>
            <w:shd w:val="clear" w:color="auto" w:fill="auto"/>
            <w:vAlign w:val="top"/>
          </w:tcPr>
          <w:p w14:paraId="0DED9173">
            <w:pPr>
              <w:pStyle w:val="21"/>
              <w:spacing w:before="177"/>
              <w:ind w:left="130" w:right="84" w:firstLine="34"/>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1、征集人可主动地或在解答供应商提出的澄清问题时对征集</w:t>
            </w:r>
            <w:r>
              <w:rPr>
                <w:rFonts w:hint="eastAsia" w:ascii="仿宋" w:hAnsi="仿宋" w:eastAsia="仿宋" w:cs="仿宋"/>
                <w:color w:val="auto"/>
                <w:spacing w:val="7"/>
                <w:sz w:val="24"/>
                <w:szCs w:val="24"/>
                <w:highlight w:val="none"/>
              </w:rPr>
              <w:t>文件澄清或修改。征集人将以发布澄清（更正）公告的方</w:t>
            </w:r>
            <w:r>
              <w:rPr>
                <w:rFonts w:hint="eastAsia" w:ascii="仿宋" w:hAnsi="仿宋" w:eastAsia="仿宋" w:cs="仿宋"/>
                <w:color w:val="auto"/>
                <w:spacing w:val="6"/>
                <w:sz w:val="24"/>
                <w:szCs w:val="24"/>
                <w:highlight w:val="none"/>
              </w:rPr>
              <w:t>式，</w:t>
            </w:r>
            <w:r>
              <w:rPr>
                <w:rFonts w:hint="eastAsia" w:ascii="仿宋" w:hAnsi="仿宋" w:eastAsia="仿宋" w:cs="仿宋"/>
                <w:color w:val="auto"/>
                <w:spacing w:val="7"/>
                <w:sz w:val="24"/>
                <w:szCs w:val="24"/>
                <w:highlight w:val="none"/>
              </w:rPr>
              <w:t>澄清或修改征集文件，澄清或修改内容作为征集文件的组成部</w:t>
            </w:r>
            <w:r>
              <w:rPr>
                <w:rFonts w:hint="eastAsia" w:ascii="仿宋" w:hAnsi="仿宋" w:eastAsia="仿宋" w:cs="仿宋"/>
                <w:color w:val="auto"/>
                <w:sz w:val="24"/>
                <w:szCs w:val="24"/>
                <w:highlight w:val="none"/>
              </w:rPr>
              <w:t>分。</w:t>
            </w:r>
          </w:p>
          <w:p w14:paraId="63ABEFCA">
            <w:pPr>
              <w:pStyle w:val="21"/>
              <w:spacing w:before="43"/>
              <w:ind w:left="133" w:right="98"/>
              <w:jc w:val="both"/>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澄清或者修改的内容可能影响响应文件编制的，征集人将以书面形式通知所有获取征集文件的供应商，并对其具有约束力。供应商在收到上述通知后，应及时向征集人确认。供应商未回复的，视同已知晓澄清或者修改的内容。</w:t>
            </w:r>
          </w:p>
          <w:p w14:paraId="38CDDC5A">
            <w:pPr>
              <w:pStyle w:val="21"/>
              <w:spacing w:before="40" w:line="234" w:lineRule="auto"/>
              <w:ind w:left="132" w:leftChars="0" w:right="106" w:rightChars="0" w:firstLine="33" w:firstLineChars="0"/>
              <w:rPr>
                <w:rFonts w:hint="eastAsia" w:ascii="仿宋" w:hAnsi="仿宋" w:eastAsia="仿宋" w:cs="仿宋"/>
                <w:snapToGrid w:val="0"/>
                <w:color w:val="auto"/>
                <w:spacing w:val="8"/>
                <w:kern w:val="0"/>
                <w:sz w:val="24"/>
                <w:szCs w:val="24"/>
                <w:highlight w:val="none"/>
                <w:lang w:val="en-US" w:eastAsia="zh-CN" w:bidi="ar-SA"/>
              </w:rPr>
            </w:pPr>
            <w:r>
              <w:rPr>
                <w:rFonts w:hint="eastAsia" w:ascii="仿宋" w:hAnsi="仿宋" w:eastAsia="仿宋" w:cs="仿宋"/>
                <w:color w:val="auto"/>
                <w:spacing w:val="5"/>
                <w:sz w:val="24"/>
                <w:szCs w:val="24"/>
                <w:highlight w:val="none"/>
              </w:rPr>
              <w:t>因供应商原因或通讯线路故障导致逾期送达或无法送达，征集</w:t>
            </w:r>
            <w:r>
              <w:rPr>
                <w:rFonts w:hint="eastAsia" w:ascii="仿宋" w:hAnsi="仿宋" w:eastAsia="仿宋" w:cs="仿宋"/>
                <w:color w:val="auto"/>
                <w:spacing w:val="2"/>
                <w:sz w:val="24"/>
                <w:szCs w:val="24"/>
                <w:highlight w:val="none"/>
              </w:rPr>
              <w:t>人不因此承担任何责任</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rPr>
              <w:t>有关的征集活动可以</w:t>
            </w:r>
            <w:r>
              <w:rPr>
                <w:rFonts w:hint="eastAsia" w:ascii="仿宋" w:hAnsi="仿宋" w:eastAsia="仿宋" w:cs="仿宋"/>
                <w:color w:val="auto"/>
                <w:spacing w:val="1"/>
                <w:sz w:val="24"/>
                <w:szCs w:val="24"/>
                <w:highlight w:val="none"/>
              </w:rPr>
              <w:t>继续有效进行。</w:t>
            </w:r>
          </w:p>
        </w:tc>
      </w:tr>
      <w:tr w14:paraId="50D43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1009" w:type="dxa"/>
            <w:tcBorders>
              <w:left w:val="single" w:color="auto" w:sz="4" w:space="0"/>
            </w:tcBorders>
            <w:shd w:val="clear" w:color="auto" w:fill="auto"/>
            <w:vAlign w:val="center"/>
          </w:tcPr>
          <w:p w14:paraId="23D6E6C1">
            <w:pPr>
              <w:pStyle w:val="21"/>
              <w:spacing w:before="75" w:line="189" w:lineRule="auto"/>
              <w:jc w:val="center"/>
              <w:rPr>
                <w:rFonts w:hint="eastAsia" w:ascii="仿宋" w:hAnsi="仿宋" w:eastAsia="仿宋" w:cs="仿宋"/>
                <w:snapToGrid w:val="0"/>
                <w:color w:val="auto"/>
                <w:spacing w:val="-4"/>
                <w:kern w:val="0"/>
                <w:sz w:val="24"/>
                <w:szCs w:val="24"/>
                <w:highlight w:val="none"/>
                <w:lang w:val="en-US" w:eastAsia="zh-CN" w:bidi="ar-SA"/>
              </w:rPr>
            </w:pPr>
            <w:r>
              <w:rPr>
                <w:rFonts w:hint="eastAsia" w:ascii="仿宋" w:hAnsi="仿宋" w:eastAsia="仿宋" w:cs="仿宋"/>
                <w:color w:val="auto"/>
                <w:spacing w:val="-7"/>
                <w:sz w:val="24"/>
                <w:szCs w:val="24"/>
                <w:highlight w:val="none"/>
                <w:lang w:val="en-US" w:eastAsia="zh-CN"/>
              </w:rPr>
              <w:t>19</w:t>
            </w:r>
          </w:p>
        </w:tc>
        <w:tc>
          <w:tcPr>
            <w:tcW w:w="1970" w:type="dxa"/>
            <w:shd w:val="clear" w:color="auto" w:fill="auto"/>
            <w:vAlign w:val="top"/>
          </w:tcPr>
          <w:p w14:paraId="28E78876">
            <w:pPr>
              <w:spacing w:line="310" w:lineRule="auto"/>
              <w:rPr>
                <w:rFonts w:hint="eastAsia" w:ascii="仿宋" w:hAnsi="仿宋" w:eastAsia="仿宋" w:cs="仿宋"/>
                <w:color w:val="auto"/>
                <w:sz w:val="24"/>
                <w:szCs w:val="24"/>
                <w:highlight w:val="none"/>
              </w:rPr>
            </w:pPr>
          </w:p>
          <w:p w14:paraId="297EE3CA">
            <w:pPr>
              <w:pStyle w:val="21"/>
              <w:spacing w:before="75" w:line="226" w:lineRule="auto"/>
              <w:ind w:left="318" w:leftChars="0"/>
              <w:rPr>
                <w:rFonts w:hint="eastAsia" w:ascii="仿宋" w:hAnsi="仿宋" w:eastAsia="仿宋" w:cs="仿宋"/>
                <w:snapToGrid w:val="0"/>
                <w:color w:val="auto"/>
                <w:spacing w:val="6"/>
                <w:kern w:val="0"/>
                <w:sz w:val="24"/>
                <w:szCs w:val="24"/>
                <w:highlight w:val="none"/>
                <w:lang w:val="en-US" w:eastAsia="en-US" w:bidi="ar-SA"/>
              </w:rPr>
            </w:pPr>
            <w:r>
              <w:rPr>
                <w:rFonts w:hint="eastAsia" w:ascii="仿宋" w:hAnsi="仿宋" w:eastAsia="仿宋" w:cs="仿宋"/>
                <w:color w:val="auto"/>
                <w:spacing w:val="5"/>
                <w:sz w:val="24"/>
                <w:szCs w:val="24"/>
                <w:highlight w:val="none"/>
              </w:rPr>
              <w:t>征集响应报价</w:t>
            </w:r>
          </w:p>
        </w:tc>
        <w:tc>
          <w:tcPr>
            <w:tcW w:w="7189" w:type="dxa"/>
            <w:shd w:val="clear" w:color="auto" w:fill="auto"/>
            <w:vAlign w:val="top"/>
          </w:tcPr>
          <w:p w14:paraId="794CE9B7">
            <w:pPr>
              <w:pStyle w:val="21"/>
              <w:spacing w:before="126" w:line="227" w:lineRule="auto"/>
              <w:ind w:left="136"/>
              <w:rPr>
                <w:rFonts w:hint="default" w:ascii="仿宋" w:hAnsi="仿宋" w:eastAsia="仿宋" w:cs="仿宋"/>
                <w:b/>
                <w:bCs/>
                <w:color w:val="auto"/>
                <w:sz w:val="24"/>
                <w:szCs w:val="24"/>
                <w:highlight w:val="none"/>
                <w:lang w:val="en-US"/>
              </w:rPr>
            </w:pPr>
            <w:r>
              <w:rPr>
                <w:rFonts w:hint="eastAsia" w:ascii="仿宋" w:hAnsi="仿宋" w:eastAsia="仿宋" w:cs="仿宋"/>
                <w:b/>
                <w:bCs/>
                <w:color w:val="auto"/>
                <w:spacing w:val="6"/>
                <w:sz w:val="24"/>
                <w:szCs w:val="24"/>
                <w:highlight w:val="none"/>
              </w:rPr>
              <w:t>项目预算金额：</w:t>
            </w:r>
            <w:r>
              <w:rPr>
                <w:rFonts w:hint="eastAsia" w:ascii="仿宋" w:hAnsi="仿宋" w:eastAsia="仿宋" w:cs="仿宋"/>
                <w:b/>
                <w:bCs/>
                <w:color w:val="auto"/>
                <w:spacing w:val="6"/>
                <w:sz w:val="24"/>
                <w:szCs w:val="24"/>
                <w:highlight w:val="none"/>
                <w:u w:val="single" w:color="auto"/>
                <w:lang w:val="en-US" w:eastAsia="zh-CN"/>
              </w:rPr>
              <w:t xml:space="preserve">/ </w:t>
            </w:r>
          </w:p>
          <w:p w14:paraId="78ED0B9A">
            <w:pPr>
              <w:pStyle w:val="21"/>
              <w:spacing w:before="26" w:line="226" w:lineRule="auto"/>
              <w:ind w:left="133"/>
              <w:outlineLvl w:val="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最高限价： 见征集公告</w:t>
            </w:r>
          </w:p>
          <w:p w14:paraId="7877FD38">
            <w:pPr>
              <w:pStyle w:val="21"/>
              <w:spacing w:before="38" w:line="232" w:lineRule="auto"/>
              <w:ind w:left="131" w:leftChars="0" w:right="74" w:rightChars="0" w:firstLine="20" w:firstLineChars="0"/>
              <w:rPr>
                <w:rFonts w:hint="eastAsia" w:ascii="仿宋" w:hAnsi="仿宋" w:eastAsia="仿宋" w:cs="仿宋"/>
                <w:snapToGrid w:val="0"/>
                <w:color w:val="auto"/>
                <w:spacing w:val="5"/>
                <w:kern w:val="0"/>
                <w:sz w:val="24"/>
                <w:szCs w:val="24"/>
                <w:highlight w:val="none"/>
                <w:lang w:val="en-US" w:eastAsia="zh-CN" w:bidi="ar-SA"/>
              </w:rPr>
            </w:pPr>
            <w:r>
              <w:rPr>
                <w:rFonts w:hint="eastAsia" w:ascii="仿宋" w:hAnsi="仿宋" w:eastAsia="仿宋" w:cs="仿宋"/>
                <w:b/>
                <w:bCs/>
                <w:color w:val="auto"/>
                <w:spacing w:val="5"/>
                <w:sz w:val="24"/>
                <w:szCs w:val="24"/>
                <w:highlight w:val="none"/>
              </w:rPr>
              <w:t>说明：投标人报价不得超过最高限价</w:t>
            </w:r>
            <w:r>
              <w:rPr>
                <w:rFonts w:hint="eastAsia" w:ascii="仿宋" w:hAnsi="仿宋" w:eastAsia="仿宋" w:cs="仿宋"/>
                <w:b/>
                <w:bCs/>
                <w:color w:val="auto"/>
                <w:spacing w:val="5"/>
                <w:sz w:val="24"/>
                <w:szCs w:val="24"/>
                <w:highlight w:val="none"/>
                <w:lang w:eastAsia="zh-CN"/>
              </w:rPr>
              <w:t>。</w:t>
            </w:r>
          </w:p>
        </w:tc>
      </w:tr>
      <w:tr w14:paraId="22947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1009" w:type="dxa"/>
            <w:tcBorders>
              <w:left w:val="single" w:color="auto" w:sz="4" w:space="0"/>
            </w:tcBorders>
            <w:shd w:val="clear" w:color="auto" w:fill="auto"/>
            <w:vAlign w:val="center"/>
          </w:tcPr>
          <w:p w14:paraId="344CFC9D">
            <w:pPr>
              <w:pStyle w:val="21"/>
              <w:spacing w:before="75" w:line="18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20</w:t>
            </w:r>
          </w:p>
        </w:tc>
        <w:tc>
          <w:tcPr>
            <w:tcW w:w="1970" w:type="dxa"/>
            <w:shd w:val="clear" w:color="auto" w:fill="auto"/>
            <w:vAlign w:val="center"/>
          </w:tcPr>
          <w:p w14:paraId="3420BFAB">
            <w:pPr>
              <w:pStyle w:val="21"/>
              <w:spacing w:before="75" w:line="228" w:lineRule="auto"/>
              <w:ind w:left="121" w:leftChars="0"/>
              <w:jc w:val="center"/>
              <w:rPr>
                <w:rFonts w:hint="eastAsia" w:ascii="仿宋" w:hAnsi="仿宋" w:eastAsia="仿宋" w:cs="仿宋"/>
                <w:snapToGrid w:val="0"/>
                <w:color w:val="auto"/>
                <w:spacing w:val="5"/>
                <w:kern w:val="0"/>
                <w:sz w:val="24"/>
                <w:szCs w:val="24"/>
                <w:highlight w:val="none"/>
                <w:lang w:val="en-US" w:eastAsia="en-US" w:bidi="ar-SA"/>
              </w:rPr>
            </w:pPr>
            <w:r>
              <w:rPr>
                <w:rFonts w:hint="eastAsia" w:ascii="仿宋" w:hAnsi="仿宋" w:eastAsia="仿宋" w:cs="仿宋"/>
                <w:color w:val="auto"/>
                <w:spacing w:val="5"/>
                <w:sz w:val="24"/>
                <w:szCs w:val="24"/>
                <w:highlight w:val="none"/>
              </w:rPr>
              <w:t>投标保证金</w:t>
            </w:r>
          </w:p>
        </w:tc>
        <w:tc>
          <w:tcPr>
            <w:tcW w:w="7189" w:type="dxa"/>
            <w:shd w:val="clear" w:color="auto" w:fill="auto"/>
            <w:vAlign w:val="center"/>
          </w:tcPr>
          <w:p w14:paraId="7529A7C5">
            <w:pPr>
              <w:spacing w:before="3" w:line="240" w:lineRule="auto"/>
              <w:jc w:val="left"/>
              <w:rPr>
                <w:rFonts w:hint="eastAsia" w:ascii="仿宋" w:hAnsi="仿宋" w:eastAsia="仿宋" w:cs="仿宋"/>
                <w:b/>
                <w:bCs/>
                <w:snapToGrid w:val="0"/>
                <w:color w:val="auto"/>
                <w:spacing w:val="5"/>
                <w:kern w:val="0"/>
                <w:sz w:val="24"/>
                <w:szCs w:val="24"/>
                <w:highlight w:val="none"/>
                <w:lang w:val="en-US" w:eastAsia="en-US" w:bidi="ar-SA"/>
              </w:rPr>
            </w:pPr>
            <w:r>
              <w:rPr>
                <w:rFonts w:hint="eastAsia" w:ascii="仿宋" w:hAnsi="仿宋" w:eastAsia="仿宋" w:cs="仿宋"/>
                <w:b/>
                <w:bCs/>
                <w:snapToGrid w:val="0"/>
                <w:color w:val="auto"/>
                <w:spacing w:val="5"/>
                <w:kern w:val="0"/>
                <w:sz w:val="24"/>
                <w:szCs w:val="24"/>
                <w:highlight w:val="none"/>
                <w:lang w:val="en-US" w:eastAsia="en-US" w:bidi="ar-SA"/>
              </w:rPr>
              <w:t>本项目不需要交纳投标保证金</w:t>
            </w:r>
          </w:p>
        </w:tc>
      </w:tr>
    </w:tbl>
    <w:tbl>
      <w:tblPr>
        <w:tblStyle w:val="20"/>
        <w:tblpPr w:leftFromText="180" w:rightFromText="180" w:vertAnchor="text" w:horzAnchor="page" w:tblpX="1214" w:tblpY="142"/>
        <w:tblOverlap w:val="never"/>
        <w:tblW w:w="1024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3"/>
        <w:gridCol w:w="2087"/>
        <w:gridCol w:w="7261"/>
      </w:tblGrid>
      <w:tr w14:paraId="7F578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893" w:type="dxa"/>
            <w:tcBorders>
              <w:top w:val="single" w:color="000000" w:sz="2" w:space="0"/>
              <w:left w:val="single" w:color="000000" w:sz="6" w:space="0"/>
              <w:bottom w:val="single" w:color="000000" w:sz="2" w:space="0"/>
            </w:tcBorders>
            <w:vAlign w:val="center"/>
          </w:tcPr>
          <w:p w14:paraId="09266599">
            <w:pPr>
              <w:pStyle w:val="21"/>
              <w:spacing w:before="75" w:line="18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21</w:t>
            </w:r>
          </w:p>
        </w:tc>
        <w:tc>
          <w:tcPr>
            <w:tcW w:w="2087" w:type="dxa"/>
            <w:vAlign w:val="center"/>
          </w:tcPr>
          <w:p w14:paraId="78460D5B">
            <w:pPr>
              <w:pStyle w:val="21"/>
              <w:spacing w:before="302" w:line="228" w:lineRule="auto"/>
              <w:jc w:val="center"/>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投标有效期</w:t>
            </w:r>
          </w:p>
        </w:tc>
        <w:tc>
          <w:tcPr>
            <w:tcW w:w="7261" w:type="dxa"/>
            <w:tcBorders>
              <w:right w:val="single" w:color="000000" w:sz="6" w:space="0"/>
            </w:tcBorders>
            <w:vAlign w:val="top"/>
          </w:tcPr>
          <w:p w14:paraId="70475B94">
            <w:pPr>
              <w:pStyle w:val="21"/>
              <w:spacing w:before="300" w:line="227" w:lineRule="auto"/>
              <w:ind w:left="116" w:leftChars="0"/>
              <w:rPr>
                <w:rFonts w:hint="eastAsia" w:ascii="仿宋" w:hAnsi="仿宋" w:eastAsia="仿宋" w:cs="仿宋"/>
                <w:color w:val="auto"/>
                <w:spacing w:val="5"/>
                <w:sz w:val="24"/>
                <w:szCs w:val="24"/>
                <w:highlight w:val="none"/>
              </w:rPr>
            </w:pPr>
            <w:r>
              <w:rPr>
                <w:rFonts w:hint="eastAsia" w:ascii="仿宋" w:hAnsi="仿宋" w:eastAsia="仿宋" w:cs="仿宋"/>
                <w:color w:val="auto"/>
                <w:sz w:val="24"/>
                <w:szCs w:val="24"/>
                <w:highlight w:val="none"/>
              </w:rPr>
              <w:t>90日历日（从开标之日算起）</w:t>
            </w:r>
          </w:p>
        </w:tc>
      </w:tr>
      <w:tr w14:paraId="65545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893" w:type="dxa"/>
            <w:tcBorders>
              <w:top w:val="single" w:color="000000" w:sz="2" w:space="0"/>
              <w:left w:val="single" w:color="000000" w:sz="6" w:space="0"/>
              <w:bottom w:val="single" w:color="000000" w:sz="2" w:space="0"/>
            </w:tcBorders>
            <w:vAlign w:val="center"/>
          </w:tcPr>
          <w:p w14:paraId="5A840A77">
            <w:pPr>
              <w:pStyle w:val="21"/>
              <w:spacing w:before="75" w:line="18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22</w:t>
            </w:r>
          </w:p>
        </w:tc>
        <w:tc>
          <w:tcPr>
            <w:tcW w:w="2087" w:type="dxa"/>
            <w:vAlign w:val="center"/>
          </w:tcPr>
          <w:p w14:paraId="07A8AEF1">
            <w:pPr>
              <w:pStyle w:val="21"/>
              <w:spacing w:before="75" w:line="227" w:lineRule="auto"/>
              <w:ind w:left="550" w:leftChars="0"/>
              <w:jc w:val="left"/>
              <w:rPr>
                <w:rFonts w:hint="eastAsia" w:ascii="仿宋" w:hAnsi="仿宋" w:eastAsia="仿宋" w:cs="仿宋"/>
                <w:color w:val="auto"/>
                <w:spacing w:val="5"/>
                <w:sz w:val="24"/>
                <w:szCs w:val="24"/>
                <w:highlight w:val="none"/>
              </w:rPr>
            </w:pPr>
            <w:r>
              <w:rPr>
                <w:rFonts w:hint="eastAsia" w:ascii="仿宋" w:hAnsi="仿宋" w:eastAsia="仿宋" w:cs="仿宋"/>
                <w:color w:val="auto"/>
                <w:spacing w:val="5"/>
                <w:sz w:val="24"/>
                <w:szCs w:val="24"/>
                <w:highlight w:val="none"/>
              </w:rPr>
              <w:t>签字盖章</w:t>
            </w:r>
          </w:p>
        </w:tc>
        <w:tc>
          <w:tcPr>
            <w:tcW w:w="7261" w:type="dxa"/>
            <w:tcBorders>
              <w:right w:val="single" w:color="000000" w:sz="6" w:space="0"/>
            </w:tcBorders>
            <w:vAlign w:val="top"/>
          </w:tcPr>
          <w:p w14:paraId="5D1FF3F0">
            <w:pPr>
              <w:pStyle w:val="21"/>
              <w:spacing w:before="187" w:line="261" w:lineRule="auto"/>
              <w:ind w:left="116" w:leftChars="0" w:right="101" w:rightChars="0" w:hanging="1" w:firstLineChars="0"/>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供应商必须按照征集文件的规定和要求在指定位置签字或盖</w:t>
            </w:r>
            <w:r>
              <w:rPr>
                <w:rFonts w:hint="eastAsia" w:ascii="仿宋" w:hAnsi="仿宋" w:eastAsia="仿宋" w:cs="仿宋"/>
                <w:color w:val="auto"/>
                <w:spacing w:val="6"/>
                <w:sz w:val="24"/>
                <w:szCs w:val="24"/>
                <w:highlight w:val="none"/>
              </w:rPr>
              <w:t>章签字。签字盖章位置必须为法定代表人或委托代理人亲笔签</w:t>
            </w:r>
            <w:r>
              <w:rPr>
                <w:rFonts w:hint="eastAsia" w:ascii="仿宋" w:hAnsi="仿宋" w:eastAsia="仿宋" w:cs="仿宋"/>
                <w:color w:val="auto"/>
                <w:spacing w:val="7"/>
                <w:sz w:val="24"/>
                <w:szCs w:val="24"/>
                <w:highlight w:val="none"/>
              </w:rPr>
              <w:t>名，使用</w:t>
            </w:r>
            <w:r>
              <w:rPr>
                <w:rFonts w:hint="eastAsia" w:ascii="仿宋" w:hAnsi="仿宋" w:eastAsia="仿宋" w:cs="仿宋"/>
                <w:color w:val="auto"/>
                <w:sz w:val="24"/>
                <w:szCs w:val="24"/>
                <w:highlight w:val="none"/>
              </w:rPr>
              <w:t>CA</w:t>
            </w:r>
            <w:r>
              <w:rPr>
                <w:rFonts w:hint="eastAsia" w:ascii="仿宋" w:hAnsi="仿宋" w:eastAsia="仿宋" w:cs="仿宋"/>
                <w:color w:val="auto"/>
                <w:spacing w:val="7"/>
                <w:sz w:val="24"/>
                <w:szCs w:val="24"/>
                <w:highlight w:val="none"/>
              </w:rPr>
              <w:t>锁电子签名或者亲笔签字后整页扫描</w:t>
            </w:r>
            <w:r>
              <w:rPr>
                <w:rFonts w:hint="eastAsia" w:ascii="仿宋" w:hAnsi="仿宋" w:eastAsia="仿宋" w:cs="仿宋"/>
                <w:color w:val="auto"/>
                <w:spacing w:val="6"/>
                <w:sz w:val="24"/>
                <w:szCs w:val="24"/>
                <w:highlight w:val="none"/>
              </w:rPr>
              <w:t>上传，否则按</w:t>
            </w:r>
            <w:r>
              <w:rPr>
                <w:rFonts w:hint="eastAsia" w:ascii="仿宋" w:hAnsi="仿宋" w:eastAsia="仿宋" w:cs="仿宋"/>
                <w:color w:val="auto"/>
                <w:spacing w:val="5"/>
                <w:sz w:val="24"/>
                <w:szCs w:val="24"/>
                <w:highlight w:val="none"/>
              </w:rPr>
              <w:t>无效投标处理。</w:t>
            </w:r>
          </w:p>
        </w:tc>
      </w:tr>
      <w:tr w14:paraId="38B5E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893" w:type="dxa"/>
            <w:tcBorders>
              <w:top w:val="single" w:color="000000" w:sz="2" w:space="0"/>
              <w:left w:val="single" w:color="000000" w:sz="6" w:space="0"/>
              <w:bottom w:val="single" w:color="000000" w:sz="2" w:space="0"/>
            </w:tcBorders>
            <w:vAlign w:val="center"/>
          </w:tcPr>
          <w:p w14:paraId="64221292">
            <w:pPr>
              <w:pStyle w:val="21"/>
              <w:spacing w:before="75" w:line="189" w:lineRule="auto"/>
              <w:jc w:val="center"/>
              <w:rPr>
                <w:rFonts w:hint="default" w:ascii="仿宋" w:hAnsi="仿宋" w:eastAsia="仿宋" w:cs="仿宋"/>
                <w:color w:val="auto"/>
                <w:spacing w:val="-7"/>
                <w:sz w:val="24"/>
                <w:szCs w:val="24"/>
                <w:highlight w:val="none"/>
                <w:lang w:val="en-US" w:eastAsia="zh-CN"/>
              </w:rPr>
            </w:pPr>
            <w:r>
              <w:rPr>
                <w:rFonts w:hint="eastAsia" w:ascii="仿宋" w:hAnsi="仿宋" w:eastAsia="仿宋" w:cs="仿宋"/>
                <w:color w:val="auto"/>
                <w:spacing w:val="-7"/>
                <w:sz w:val="24"/>
                <w:szCs w:val="24"/>
                <w:highlight w:val="none"/>
                <w:lang w:val="en-US" w:eastAsia="zh-CN"/>
              </w:rPr>
              <w:t>23</w:t>
            </w:r>
          </w:p>
        </w:tc>
        <w:tc>
          <w:tcPr>
            <w:tcW w:w="2087" w:type="dxa"/>
            <w:vAlign w:val="center"/>
          </w:tcPr>
          <w:p w14:paraId="08C6C6BF">
            <w:pPr>
              <w:pStyle w:val="21"/>
              <w:spacing w:before="75" w:line="243" w:lineRule="auto"/>
              <w:ind w:left="917" w:leftChars="0" w:right="196" w:rightChars="0" w:hanging="724" w:firstLineChars="0"/>
              <w:jc w:val="both"/>
              <w:rPr>
                <w:rFonts w:hint="eastAsia" w:ascii="仿宋" w:hAnsi="仿宋" w:eastAsia="仿宋" w:cs="仿宋"/>
                <w:color w:val="auto"/>
                <w:spacing w:val="5"/>
                <w:sz w:val="24"/>
                <w:szCs w:val="24"/>
                <w:highlight w:val="none"/>
              </w:rPr>
            </w:pPr>
            <w:r>
              <w:rPr>
                <w:rFonts w:hint="eastAsia" w:ascii="仿宋" w:hAnsi="仿宋" w:eastAsia="仿宋" w:cs="仿宋"/>
                <w:color w:val="auto"/>
                <w:spacing w:val="7"/>
                <w:sz w:val="24"/>
                <w:szCs w:val="24"/>
                <w:highlight w:val="none"/>
              </w:rPr>
              <w:t>征集响应文件递交</w:t>
            </w:r>
          </w:p>
        </w:tc>
        <w:tc>
          <w:tcPr>
            <w:tcW w:w="7261" w:type="dxa"/>
            <w:tcBorders>
              <w:right w:val="single" w:color="000000" w:sz="6" w:space="0"/>
            </w:tcBorders>
            <w:vAlign w:val="top"/>
          </w:tcPr>
          <w:p w14:paraId="1F7BF735">
            <w:pPr>
              <w:pStyle w:val="21"/>
              <w:spacing w:before="271" w:line="261" w:lineRule="auto"/>
              <w:ind w:left="110" w:leftChars="0" w:right="84" w:rightChars="0" w:firstLine="1"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rPr>
              <w:t>加密的电子征集响应文件投标供应商应当在投标截止时间前，</w:t>
            </w:r>
            <w:r>
              <w:rPr>
                <w:rFonts w:hint="eastAsia" w:ascii="仿宋" w:hAnsi="仿宋" w:eastAsia="仿宋" w:cs="仿宋"/>
                <w:color w:val="auto"/>
                <w:sz w:val="24"/>
                <w:szCs w:val="24"/>
                <w:highlight w:val="none"/>
              </w:rPr>
              <w:t>将生成“</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z w:val="24"/>
                <w:szCs w:val="24"/>
                <w:highlight w:val="none"/>
              </w:rPr>
              <w:t>电子加密响应文件</w:t>
            </w:r>
            <w:r>
              <w:rPr>
                <w:rFonts w:hint="eastAsia" w:ascii="仿宋" w:hAnsi="仿宋" w:eastAsia="仿宋" w:cs="仿宋"/>
                <w:color w:val="auto"/>
                <w:spacing w:val="-54"/>
                <w:sz w:val="24"/>
                <w:szCs w:val="24"/>
                <w:highlight w:val="none"/>
              </w:rPr>
              <w:t xml:space="preserve"> </w:t>
            </w:r>
            <w:r>
              <w:rPr>
                <w:rFonts w:hint="eastAsia" w:ascii="仿宋" w:hAnsi="仿宋" w:eastAsia="仿宋" w:cs="仿宋"/>
                <w:color w:val="auto"/>
                <w:sz w:val="24"/>
                <w:szCs w:val="24"/>
                <w:highlight w:val="none"/>
              </w:rPr>
              <w:t>”上传递交至“采购云平台</w:t>
            </w:r>
            <w:r>
              <w:rPr>
                <w:rFonts w:hint="eastAsia" w:ascii="仿宋" w:hAnsi="仿宋" w:eastAsia="仿宋" w:cs="仿宋"/>
                <w:color w:val="auto"/>
                <w:spacing w:val="-54"/>
                <w:sz w:val="24"/>
                <w:szCs w:val="24"/>
                <w:highlight w:val="none"/>
              </w:rPr>
              <w:t xml:space="preserve"> </w:t>
            </w:r>
            <w:r>
              <w:rPr>
                <w:rFonts w:hint="eastAsia" w:ascii="仿宋" w:hAnsi="仿宋" w:eastAsia="仿宋" w:cs="仿宋"/>
                <w:color w:val="auto"/>
                <w:sz w:val="24"/>
                <w:szCs w:val="24"/>
                <w:highlight w:val="none"/>
              </w:rPr>
              <w:t>”，投</w:t>
            </w:r>
            <w:r>
              <w:rPr>
                <w:rFonts w:hint="eastAsia" w:ascii="仿宋" w:hAnsi="仿宋" w:eastAsia="仿宋" w:cs="仿宋"/>
                <w:color w:val="auto"/>
                <w:spacing w:val="5"/>
                <w:sz w:val="24"/>
                <w:szCs w:val="24"/>
                <w:highlight w:val="none"/>
              </w:rPr>
              <w:t>标截止时间以后，上传递交的响应文件将被“政采云</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5"/>
                <w:sz w:val="24"/>
                <w:szCs w:val="24"/>
                <w:highlight w:val="none"/>
              </w:rPr>
              <w:t>”平台拒</w:t>
            </w:r>
            <w:r>
              <w:rPr>
                <w:rFonts w:hint="eastAsia" w:ascii="仿宋" w:hAnsi="仿宋" w:eastAsia="仿宋" w:cs="仿宋"/>
                <w:color w:val="auto"/>
                <w:spacing w:val="2"/>
                <w:sz w:val="24"/>
                <w:szCs w:val="24"/>
                <w:highlight w:val="none"/>
              </w:rPr>
              <w:t>收，开标时须使用</w:t>
            </w:r>
            <w:r>
              <w:rPr>
                <w:rFonts w:hint="eastAsia" w:ascii="仿宋" w:hAnsi="仿宋" w:eastAsia="仿宋" w:cs="仿宋"/>
                <w:color w:val="auto"/>
                <w:sz w:val="24"/>
                <w:szCs w:val="24"/>
                <w:highlight w:val="none"/>
              </w:rPr>
              <w:t>CA</w:t>
            </w:r>
            <w:r>
              <w:rPr>
                <w:rFonts w:hint="eastAsia" w:ascii="仿宋" w:hAnsi="仿宋" w:eastAsia="仿宋" w:cs="仿宋"/>
                <w:color w:val="auto"/>
                <w:spacing w:val="2"/>
                <w:sz w:val="24"/>
                <w:szCs w:val="24"/>
                <w:highlight w:val="none"/>
              </w:rPr>
              <w:t xml:space="preserve"> 密钥进行文件解密工作</w:t>
            </w:r>
            <w:r>
              <w:rPr>
                <w:rFonts w:hint="eastAsia" w:ascii="仿宋" w:hAnsi="仿宋" w:eastAsia="仿宋" w:cs="仿宋"/>
                <w:color w:val="auto"/>
                <w:spacing w:val="2"/>
                <w:sz w:val="24"/>
                <w:szCs w:val="24"/>
                <w:highlight w:val="none"/>
                <w:lang w:eastAsia="zh-CN"/>
              </w:rPr>
              <w:t>。</w:t>
            </w:r>
          </w:p>
        </w:tc>
      </w:tr>
      <w:tr w14:paraId="7317C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4" w:hRule="atLeast"/>
        </w:trPr>
        <w:tc>
          <w:tcPr>
            <w:tcW w:w="893" w:type="dxa"/>
            <w:vMerge w:val="restart"/>
            <w:tcBorders>
              <w:top w:val="single" w:color="000000" w:sz="2" w:space="0"/>
              <w:left w:val="single" w:color="000000" w:sz="6" w:space="0"/>
            </w:tcBorders>
            <w:vAlign w:val="center"/>
          </w:tcPr>
          <w:p w14:paraId="5674F90E">
            <w:pPr>
              <w:pStyle w:val="21"/>
              <w:spacing w:before="75" w:line="189" w:lineRule="auto"/>
              <w:jc w:val="center"/>
              <w:rPr>
                <w:rFonts w:hint="eastAsia" w:ascii="仿宋" w:hAnsi="仿宋" w:eastAsia="仿宋" w:cs="仿宋"/>
                <w:color w:val="auto"/>
                <w:spacing w:val="-7"/>
                <w:sz w:val="24"/>
                <w:szCs w:val="24"/>
                <w:highlight w:val="none"/>
                <w:lang w:val="en-US" w:eastAsia="zh-CN"/>
              </w:rPr>
            </w:pPr>
            <w:r>
              <w:rPr>
                <w:rFonts w:hint="eastAsia" w:ascii="仿宋" w:hAnsi="仿宋" w:eastAsia="仿宋" w:cs="仿宋"/>
                <w:color w:val="auto"/>
                <w:spacing w:val="-2"/>
                <w:sz w:val="24"/>
                <w:szCs w:val="24"/>
                <w:highlight w:val="none"/>
                <w:lang w:val="en-US" w:eastAsia="zh-CN"/>
              </w:rPr>
              <w:t>24</w:t>
            </w:r>
          </w:p>
        </w:tc>
        <w:tc>
          <w:tcPr>
            <w:tcW w:w="2087" w:type="dxa"/>
            <w:vAlign w:val="top"/>
          </w:tcPr>
          <w:p w14:paraId="3345D98F">
            <w:pPr>
              <w:spacing w:line="356" w:lineRule="auto"/>
              <w:rPr>
                <w:rFonts w:hint="eastAsia" w:ascii="仿宋" w:hAnsi="仿宋" w:eastAsia="仿宋" w:cs="仿宋"/>
                <w:color w:val="auto"/>
                <w:sz w:val="24"/>
                <w:szCs w:val="24"/>
                <w:highlight w:val="none"/>
              </w:rPr>
            </w:pPr>
          </w:p>
          <w:p w14:paraId="3F493B0D">
            <w:pPr>
              <w:pStyle w:val="21"/>
              <w:spacing w:before="74" w:line="228"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7"/>
                <w:sz w:val="24"/>
                <w:szCs w:val="24"/>
                <w:highlight w:val="none"/>
              </w:rPr>
              <w:t>评标方法及标准</w:t>
            </w:r>
          </w:p>
        </w:tc>
        <w:tc>
          <w:tcPr>
            <w:tcW w:w="7261" w:type="dxa"/>
            <w:tcBorders>
              <w:right w:val="single" w:color="000000" w:sz="6" w:space="0"/>
            </w:tcBorders>
            <w:vAlign w:val="center"/>
          </w:tcPr>
          <w:p w14:paraId="628C5F18">
            <w:pPr>
              <w:pStyle w:val="21"/>
              <w:spacing w:before="279" w:line="260" w:lineRule="auto"/>
              <w:ind w:right="101" w:rightChars="0"/>
              <w:jc w:val="left"/>
              <w:rPr>
                <w:rFonts w:hint="eastAsia" w:ascii="仿宋" w:hAnsi="仿宋" w:eastAsia="仿宋" w:cs="仿宋"/>
                <w:color w:val="auto"/>
                <w:spacing w:val="7"/>
                <w:sz w:val="24"/>
                <w:szCs w:val="24"/>
                <w:highlight w:val="none"/>
              </w:rPr>
            </w:pPr>
            <w:r>
              <w:rPr>
                <w:rFonts w:hint="eastAsia" w:ascii="仿宋" w:hAnsi="仿宋" w:eastAsia="仿宋" w:cs="仿宋"/>
                <w:color w:val="auto"/>
                <w:spacing w:val="6"/>
                <w:sz w:val="24"/>
                <w:szCs w:val="24"/>
                <w:highlight w:val="none"/>
              </w:rPr>
              <w:t>质量优先法：质量优先法是指对满足采购需求且响应报价不超过最高限制单价的货物、服务进行质量综合评分，按照质量评分从高到低排序，根据征集文件规定的淘汰率或者入围供应商数量上限，确定入围供应商的评审方法。</w:t>
            </w:r>
          </w:p>
        </w:tc>
      </w:tr>
      <w:tr w14:paraId="4CAD6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4" w:hRule="atLeast"/>
        </w:trPr>
        <w:tc>
          <w:tcPr>
            <w:tcW w:w="893" w:type="dxa"/>
            <w:vMerge w:val="continue"/>
            <w:tcBorders>
              <w:left w:val="single" w:color="000000" w:sz="6" w:space="0"/>
              <w:bottom w:val="single" w:color="000000" w:sz="2" w:space="0"/>
            </w:tcBorders>
            <w:vAlign w:val="center"/>
          </w:tcPr>
          <w:p w14:paraId="57ACCDEC">
            <w:pPr>
              <w:pStyle w:val="21"/>
              <w:spacing w:before="75" w:line="189" w:lineRule="auto"/>
              <w:jc w:val="center"/>
              <w:rPr>
                <w:rFonts w:hint="eastAsia" w:ascii="仿宋" w:hAnsi="仿宋" w:eastAsia="仿宋" w:cs="仿宋"/>
                <w:color w:val="auto"/>
                <w:spacing w:val="-2"/>
                <w:sz w:val="24"/>
                <w:szCs w:val="24"/>
                <w:highlight w:val="none"/>
                <w:lang w:val="en-US" w:eastAsia="zh-CN"/>
              </w:rPr>
            </w:pPr>
          </w:p>
        </w:tc>
        <w:tc>
          <w:tcPr>
            <w:tcW w:w="2087" w:type="dxa"/>
            <w:vAlign w:val="center"/>
          </w:tcPr>
          <w:p w14:paraId="3503C86B">
            <w:pPr>
              <w:pStyle w:val="21"/>
              <w:spacing w:before="74" w:line="228" w:lineRule="auto"/>
              <w:jc w:val="center"/>
              <w:rPr>
                <w:rFonts w:hint="eastAsia" w:ascii="仿宋" w:hAnsi="仿宋" w:eastAsia="仿宋" w:cs="仿宋"/>
                <w:color w:val="auto"/>
                <w:spacing w:val="7"/>
                <w:sz w:val="24"/>
                <w:szCs w:val="24"/>
                <w:highlight w:val="none"/>
              </w:rPr>
            </w:pPr>
            <w:r>
              <w:rPr>
                <w:rFonts w:hint="eastAsia" w:ascii="仿宋" w:hAnsi="仿宋" w:eastAsia="仿宋" w:cs="仿宋"/>
                <w:color w:val="auto"/>
                <w:spacing w:val="7"/>
                <w:sz w:val="24"/>
                <w:szCs w:val="24"/>
                <w:highlight w:val="none"/>
              </w:rPr>
              <w:t>评标委员会</w:t>
            </w:r>
          </w:p>
        </w:tc>
        <w:tc>
          <w:tcPr>
            <w:tcW w:w="7261" w:type="dxa"/>
            <w:tcBorders>
              <w:right w:val="single" w:color="000000" w:sz="6" w:space="0"/>
            </w:tcBorders>
            <w:vAlign w:val="center"/>
          </w:tcPr>
          <w:p w14:paraId="3C009165">
            <w:pPr>
              <w:pStyle w:val="6"/>
              <w:snapToGrid w:val="0"/>
              <w:spacing w:line="290" w:lineRule="exact"/>
              <w:rPr>
                <w:rFonts w:hint="eastAsia" w:ascii="仿宋" w:hAnsi="仿宋" w:eastAsia="仿宋" w:cs="仿宋"/>
                <w:snapToGrid w:val="0"/>
                <w:color w:val="auto"/>
                <w:spacing w:val="6"/>
                <w:kern w:val="0"/>
                <w:sz w:val="24"/>
                <w:szCs w:val="24"/>
                <w:highlight w:val="none"/>
                <w:u w:val="none"/>
                <w:lang w:val="en-US" w:eastAsia="zh-CN" w:bidi="ar-SA"/>
              </w:rPr>
            </w:pPr>
            <w:r>
              <w:rPr>
                <w:rFonts w:hint="eastAsia" w:ascii="仿宋" w:hAnsi="仿宋" w:eastAsia="仿宋" w:cs="仿宋"/>
                <w:snapToGrid w:val="0"/>
                <w:color w:val="auto"/>
                <w:spacing w:val="6"/>
                <w:kern w:val="0"/>
                <w:sz w:val="24"/>
                <w:szCs w:val="24"/>
                <w:highlight w:val="none"/>
                <w:u w:val="none"/>
                <w:lang w:val="en-US" w:eastAsia="zh-CN" w:bidi="ar-SA"/>
              </w:rPr>
              <w:t>评标委员会依法组建；采购人代表1人，评审专家4人，共5人。</w:t>
            </w:r>
          </w:p>
          <w:p w14:paraId="1476AB44">
            <w:pPr>
              <w:pStyle w:val="21"/>
              <w:spacing w:before="279" w:line="260" w:lineRule="auto"/>
              <w:ind w:right="101" w:rightChars="0"/>
              <w:jc w:val="left"/>
              <w:rPr>
                <w:rFonts w:hint="eastAsia" w:ascii="仿宋" w:hAnsi="仿宋" w:eastAsia="仿宋" w:cs="仿宋"/>
                <w:color w:val="auto"/>
                <w:spacing w:val="6"/>
                <w:sz w:val="24"/>
                <w:szCs w:val="24"/>
                <w:highlight w:val="none"/>
              </w:rPr>
            </w:pPr>
            <w:r>
              <w:rPr>
                <w:rFonts w:hint="eastAsia" w:ascii="仿宋" w:hAnsi="仿宋" w:eastAsia="仿宋" w:cs="仿宋"/>
                <w:snapToGrid w:val="0"/>
                <w:color w:val="auto"/>
                <w:spacing w:val="6"/>
                <w:kern w:val="0"/>
                <w:sz w:val="24"/>
                <w:szCs w:val="24"/>
                <w:highlight w:val="none"/>
                <w:u w:val="none"/>
                <w:lang w:val="en-US" w:eastAsia="zh-CN" w:bidi="ar-SA"/>
              </w:rPr>
              <w:t>评标专家确定方式：专家评委在开标前从政采云专家库中随机抽取。</w:t>
            </w:r>
          </w:p>
        </w:tc>
      </w:tr>
      <w:tr w14:paraId="7F7BF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2" w:hRule="atLeast"/>
        </w:trPr>
        <w:tc>
          <w:tcPr>
            <w:tcW w:w="893" w:type="dxa"/>
            <w:tcBorders>
              <w:top w:val="single" w:color="000000" w:sz="2" w:space="0"/>
              <w:left w:val="single" w:color="000000" w:sz="6" w:space="0"/>
              <w:bottom w:val="single" w:color="000000" w:sz="2" w:space="0"/>
            </w:tcBorders>
            <w:vAlign w:val="top"/>
          </w:tcPr>
          <w:p w14:paraId="46587AFA">
            <w:pPr>
              <w:spacing w:line="266" w:lineRule="auto"/>
              <w:rPr>
                <w:rFonts w:hint="eastAsia" w:ascii="仿宋" w:hAnsi="仿宋" w:eastAsia="仿宋" w:cs="仿宋"/>
                <w:color w:val="auto"/>
                <w:sz w:val="24"/>
                <w:szCs w:val="24"/>
                <w:highlight w:val="none"/>
              </w:rPr>
            </w:pPr>
          </w:p>
          <w:p w14:paraId="5CD8CBDB">
            <w:pPr>
              <w:spacing w:line="266" w:lineRule="auto"/>
              <w:rPr>
                <w:rFonts w:hint="eastAsia" w:ascii="仿宋" w:hAnsi="仿宋" w:eastAsia="仿宋" w:cs="仿宋"/>
                <w:color w:val="auto"/>
                <w:sz w:val="24"/>
                <w:szCs w:val="24"/>
                <w:highlight w:val="none"/>
              </w:rPr>
            </w:pPr>
          </w:p>
          <w:p w14:paraId="222066AF">
            <w:pPr>
              <w:spacing w:line="267" w:lineRule="auto"/>
              <w:rPr>
                <w:rFonts w:hint="eastAsia" w:ascii="仿宋" w:hAnsi="仿宋" w:eastAsia="仿宋" w:cs="仿宋"/>
                <w:color w:val="auto"/>
                <w:sz w:val="24"/>
                <w:szCs w:val="24"/>
                <w:highlight w:val="none"/>
              </w:rPr>
            </w:pPr>
          </w:p>
          <w:p w14:paraId="40DA2DA5">
            <w:pPr>
              <w:spacing w:line="267" w:lineRule="auto"/>
              <w:rPr>
                <w:rFonts w:hint="eastAsia" w:ascii="仿宋" w:hAnsi="仿宋" w:eastAsia="仿宋" w:cs="仿宋"/>
                <w:color w:val="auto"/>
                <w:sz w:val="24"/>
                <w:szCs w:val="24"/>
                <w:highlight w:val="none"/>
              </w:rPr>
            </w:pPr>
          </w:p>
          <w:p w14:paraId="625C064E">
            <w:pPr>
              <w:spacing w:line="267" w:lineRule="auto"/>
              <w:rPr>
                <w:rFonts w:hint="eastAsia" w:ascii="仿宋" w:hAnsi="仿宋" w:eastAsia="仿宋" w:cs="仿宋"/>
                <w:color w:val="auto"/>
                <w:sz w:val="24"/>
                <w:szCs w:val="24"/>
                <w:highlight w:val="none"/>
              </w:rPr>
            </w:pPr>
          </w:p>
          <w:p w14:paraId="297C2EBD">
            <w:pPr>
              <w:pStyle w:val="21"/>
              <w:spacing w:before="75" w:line="189" w:lineRule="auto"/>
              <w:ind w:left="395" w:leftChars="0"/>
              <w:rPr>
                <w:rFonts w:hint="eastAsia" w:ascii="仿宋" w:hAnsi="仿宋" w:eastAsia="仿宋" w:cs="仿宋"/>
                <w:color w:val="auto"/>
                <w:spacing w:val="-4"/>
                <w:sz w:val="24"/>
                <w:szCs w:val="24"/>
                <w:highlight w:val="none"/>
                <w:lang w:val="en-US" w:eastAsia="zh-CN"/>
              </w:rPr>
            </w:pPr>
          </w:p>
          <w:p w14:paraId="38C215BE">
            <w:pPr>
              <w:pStyle w:val="21"/>
              <w:spacing w:before="75" w:line="189" w:lineRule="auto"/>
              <w:ind w:left="395" w:leftChars="0"/>
              <w:rPr>
                <w:rFonts w:hint="eastAsia" w:ascii="仿宋" w:hAnsi="仿宋" w:eastAsia="仿宋" w:cs="仿宋"/>
                <w:color w:val="auto"/>
                <w:spacing w:val="-4"/>
                <w:sz w:val="24"/>
                <w:szCs w:val="24"/>
                <w:highlight w:val="none"/>
                <w:lang w:val="en-US" w:eastAsia="zh-CN"/>
              </w:rPr>
            </w:pPr>
          </w:p>
          <w:p w14:paraId="275ED733">
            <w:pPr>
              <w:pStyle w:val="21"/>
              <w:spacing w:before="75" w:line="189" w:lineRule="auto"/>
              <w:ind w:left="395" w:leftChars="0"/>
              <w:rPr>
                <w:rFonts w:hint="eastAsia" w:ascii="仿宋" w:hAnsi="仿宋" w:eastAsia="仿宋" w:cs="仿宋"/>
                <w:color w:val="auto"/>
                <w:spacing w:val="-4"/>
                <w:sz w:val="24"/>
                <w:szCs w:val="24"/>
                <w:highlight w:val="none"/>
                <w:lang w:val="en-US" w:eastAsia="zh-CN"/>
              </w:rPr>
            </w:pPr>
          </w:p>
          <w:p w14:paraId="3667174A">
            <w:pPr>
              <w:pStyle w:val="21"/>
              <w:spacing w:before="75" w:line="189" w:lineRule="auto"/>
              <w:ind w:left="395" w:leftChars="0"/>
              <w:rPr>
                <w:rFonts w:hint="eastAsia" w:ascii="仿宋" w:hAnsi="仿宋" w:eastAsia="仿宋" w:cs="仿宋"/>
                <w:color w:val="auto"/>
                <w:spacing w:val="-4"/>
                <w:sz w:val="24"/>
                <w:szCs w:val="24"/>
                <w:highlight w:val="none"/>
                <w:lang w:val="en-US" w:eastAsia="zh-CN"/>
              </w:rPr>
            </w:pPr>
          </w:p>
          <w:p w14:paraId="4B478593">
            <w:pPr>
              <w:pStyle w:val="21"/>
              <w:spacing w:before="75" w:line="189" w:lineRule="auto"/>
              <w:ind w:left="395" w:leftChars="0"/>
              <w:rPr>
                <w:rFonts w:hint="eastAsia" w:ascii="仿宋" w:hAnsi="仿宋" w:eastAsia="仿宋" w:cs="仿宋"/>
                <w:color w:val="auto"/>
                <w:spacing w:val="-4"/>
                <w:sz w:val="24"/>
                <w:szCs w:val="24"/>
                <w:highlight w:val="none"/>
                <w:lang w:val="en-US" w:eastAsia="zh-CN"/>
              </w:rPr>
            </w:pPr>
          </w:p>
          <w:p w14:paraId="7F6535B6">
            <w:pPr>
              <w:pStyle w:val="21"/>
              <w:spacing w:before="75" w:line="189" w:lineRule="auto"/>
              <w:ind w:left="395" w:leftChars="0"/>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4"/>
                <w:sz w:val="24"/>
                <w:szCs w:val="24"/>
                <w:highlight w:val="none"/>
                <w:lang w:val="en-US" w:eastAsia="zh-CN"/>
              </w:rPr>
              <w:t>25</w:t>
            </w:r>
          </w:p>
        </w:tc>
        <w:tc>
          <w:tcPr>
            <w:tcW w:w="2087" w:type="dxa"/>
            <w:vAlign w:val="top"/>
          </w:tcPr>
          <w:p w14:paraId="7BCCB342">
            <w:pPr>
              <w:spacing w:line="278" w:lineRule="auto"/>
              <w:rPr>
                <w:rFonts w:hint="eastAsia" w:ascii="仿宋" w:hAnsi="仿宋" w:eastAsia="仿宋" w:cs="仿宋"/>
                <w:color w:val="auto"/>
                <w:sz w:val="24"/>
                <w:szCs w:val="24"/>
                <w:highlight w:val="none"/>
              </w:rPr>
            </w:pPr>
          </w:p>
          <w:p w14:paraId="5F378DDB">
            <w:pPr>
              <w:spacing w:line="279" w:lineRule="auto"/>
              <w:rPr>
                <w:rFonts w:hint="eastAsia" w:ascii="仿宋" w:hAnsi="仿宋" w:eastAsia="仿宋" w:cs="仿宋"/>
                <w:color w:val="auto"/>
                <w:sz w:val="24"/>
                <w:szCs w:val="24"/>
                <w:highlight w:val="none"/>
              </w:rPr>
            </w:pPr>
          </w:p>
          <w:p w14:paraId="0C336A75">
            <w:pPr>
              <w:spacing w:line="279" w:lineRule="auto"/>
              <w:rPr>
                <w:rFonts w:hint="eastAsia" w:ascii="仿宋" w:hAnsi="仿宋" w:eastAsia="仿宋" w:cs="仿宋"/>
                <w:color w:val="auto"/>
                <w:sz w:val="24"/>
                <w:szCs w:val="24"/>
                <w:highlight w:val="none"/>
              </w:rPr>
            </w:pPr>
          </w:p>
          <w:p w14:paraId="43B7496F">
            <w:pPr>
              <w:spacing w:line="279" w:lineRule="auto"/>
              <w:rPr>
                <w:rFonts w:hint="eastAsia" w:ascii="仿宋" w:hAnsi="仿宋" w:eastAsia="仿宋" w:cs="仿宋"/>
                <w:color w:val="auto"/>
                <w:sz w:val="24"/>
                <w:szCs w:val="24"/>
                <w:highlight w:val="none"/>
              </w:rPr>
            </w:pPr>
          </w:p>
          <w:p w14:paraId="17937733">
            <w:pPr>
              <w:pStyle w:val="21"/>
              <w:spacing w:before="75" w:line="257" w:lineRule="auto"/>
              <w:ind w:left="310" w:leftChars="0" w:right="196" w:rightChars="0" w:hanging="120" w:firstLineChars="0"/>
              <w:rPr>
                <w:rFonts w:hint="eastAsia" w:ascii="仿宋" w:hAnsi="仿宋" w:eastAsia="仿宋" w:cs="仿宋"/>
                <w:color w:val="auto"/>
                <w:spacing w:val="6"/>
                <w:sz w:val="24"/>
                <w:szCs w:val="24"/>
                <w:highlight w:val="none"/>
              </w:rPr>
            </w:pPr>
          </w:p>
          <w:p w14:paraId="78A2195E">
            <w:pPr>
              <w:pStyle w:val="21"/>
              <w:spacing w:before="75" w:line="257" w:lineRule="auto"/>
              <w:ind w:left="310" w:leftChars="0" w:right="196" w:rightChars="0" w:hanging="120" w:firstLineChars="0"/>
              <w:rPr>
                <w:rFonts w:hint="eastAsia" w:ascii="仿宋" w:hAnsi="仿宋" w:eastAsia="仿宋" w:cs="仿宋"/>
                <w:color w:val="auto"/>
                <w:spacing w:val="6"/>
                <w:sz w:val="24"/>
                <w:szCs w:val="24"/>
                <w:highlight w:val="none"/>
              </w:rPr>
            </w:pPr>
          </w:p>
          <w:p w14:paraId="6A4E2659">
            <w:pPr>
              <w:pStyle w:val="21"/>
              <w:spacing w:before="75" w:line="257" w:lineRule="auto"/>
              <w:ind w:left="310" w:leftChars="0" w:right="196" w:rightChars="0" w:hanging="120" w:firstLineChars="0"/>
              <w:rPr>
                <w:rFonts w:hint="eastAsia" w:ascii="仿宋" w:hAnsi="仿宋" w:eastAsia="仿宋" w:cs="仿宋"/>
                <w:color w:val="auto"/>
                <w:spacing w:val="6"/>
                <w:sz w:val="24"/>
                <w:szCs w:val="24"/>
                <w:highlight w:val="none"/>
              </w:rPr>
            </w:pPr>
          </w:p>
          <w:p w14:paraId="7A97BFF6">
            <w:pPr>
              <w:pStyle w:val="21"/>
              <w:spacing w:before="75" w:line="257" w:lineRule="auto"/>
              <w:ind w:left="310" w:leftChars="0" w:right="196" w:rightChars="0" w:hanging="120" w:firstLineChars="0"/>
              <w:rPr>
                <w:rFonts w:hint="eastAsia" w:ascii="仿宋" w:hAnsi="仿宋" w:eastAsia="仿宋" w:cs="仿宋"/>
                <w:color w:val="auto"/>
                <w:spacing w:val="6"/>
                <w:sz w:val="24"/>
                <w:szCs w:val="24"/>
                <w:highlight w:val="none"/>
              </w:rPr>
            </w:pPr>
          </w:p>
          <w:p w14:paraId="7B7B2CBE">
            <w:pPr>
              <w:pStyle w:val="21"/>
              <w:spacing w:before="75" w:line="257" w:lineRule="auto"/>
              <w:ind w:left="310" w:leftChars="0" w:right="196" w:rightChars="0" w:hanging="120" w:firstLineChars="0"/>
              <w:rPr>
                <w:rFonts w:hint="eastAsia" w:ascii="仿宋" w:hAnsi="仿宋" w:eastAsia="仿宋" w:cs="仿宋"/>
                <w:color w:val="auto"/>
                <w:spacing w:val="7"/>
                <w:sz w:val="24"/>
                <w:szCs w:val="24"/>
                <w:highlight w:val="none"/>
              </w:rPr>
            </w:pPr>
            <w:r>
              <w:rPr>
                <w:rFonts w:hint="eastAsia" w:ascii="仿宋" w:hAnsi="仿宋" w:eastAsia="仿宋" w:cs="仿宋"/>
                <w:color w:val="auto"/>
                <w:spacing w:val="6"/>
                <w:sz w:val="24"/>
                <w:szCs w:val="24"/>
                <w:highlight w:val="none"/>
              </w:rPr>
              <w:t>第一阶段入围供应商数量上限</w:t>
            </w:r>
          </w:p>
        </w:tc>
        <w:tc>
          <w:tcPr>
            <w:tcW w:w="7261" w:type="dxa"/>
            <w:tcBorders>
              <w:right w:val="single" w:color="000000" w:sz="6" w:space="0"/>
            </w:tcBorders>
            <w:vAlign w:val="top"/>
          </w:tcPr>
          <w:p w14:paraId="013518DA">
            <w:pPr>
              <w:pStyle w:val="21"/>
              <w:spacing w:before="87" w:line="227" w:lineRule="auto"/>
              <w:ind w:left="115"/>
              <w:rPr>
                <w:rFonts w:hint="eastAsia" w:ascii="仿宋" w:hAnsi="仿宋" w:eastAsia="仿宋" w:cs="仿宋"/>
                <w:b/>
                <w:bCs/>
                <w:color w:val="auto"/>
                <w:spacing w:val="7"/>
                <w:sz w:val="24"/>
                <w:szCs w:val="24"/>
                <w:highlight w:val="none"/>
                <w:lang w:eastAsia="zh-CN"/>
              </w:rPr>
            </w:pP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1、6</w:t>
            </w:r>
            <w:r>
              <w:rPr>
                <w:rFonts w:hint="eastAsia" w:ascii="仿宋" w:hAnsi="仿宋" w:eastAsia="仿宋" w:cs="仿宋"/>
                <w:b/>
                <w:bCs/>
                <w:color w:val="auto"/>
                <w:sz w:val="24"/>
                <w:szCs w:val="24"/>
                <w:highlight w:val="none"/>
              </w:rPr>
              <w:t>】</w:t>
            </w:r>
            <w:r>
              <w:rPr>
                <w:rFonts w:hint="eastAsia"/>
                <w:color w:val="auto"/>
                <w:spacing w:val="7"/>
                <w:highlight w:val="none"/>
                <w:lang w:val="en-US" w:eastAsia="zh-CN"/>
              </w:rPr>
              <w:t>：</w:t>
            </w:r>
            <w:r>
              <w:rPr>
                <w:rFonts w:hint="eastAsia" w:ascii="仿宋" w:hAnsi="仿宋" w:eastAsia="仿宋" w:cs="仿宋"/>
                <w:b/>
                <w:bCs/>
                <w:color w:val="auto"/>
                <w:spacing w:val="7"/>
                <w:sz w:val="24"/>
                <w:szCs w:val="24"/>
                <w:highlight w:val="none"/>
              </w:rPr>
              <w:t>拟推荐入围供应商的数量：</w:t>
            </w:r>
            <w:r>
              <w:rPr>
                <w:rFonts w:hint="eastAsia" w:ascii="仿宋" w:hAnsi="仿宋" w:eastAsia="仿宋" w:cs="仿宋"/>
                <w:b/>
                <w:bCs/>
                <w:color w:val="auto"/>
                <w:spacing w:val="7"/>
                <w:sz w:val="24"/>
                <w:szCs w:val="24"/>
                <w:highlight w:val="none"/>
                <w:lang w:val="en-US" w:eastAsia="zh-CN"/>
              </w:rPr>
              <w:t>5</w:t>
            </w:r>
            <w:r>
              <w:rPr>
                <w:rFonts w:hint="eastAsia" w:ascii="仿宋" w:hAnsi="仿宋" w:eastAsia="仿宋" w:cs="仿宋"/>
                <w:b/>
                <w:bCs/>
                <w:color w:val="auto"/>
                <w:spacing w:val="7"/>
                <w:sz w:val="24"/>
                <w:szCs w:val="24"/>
                <w:highlight w:val="none"/>
              </w:rPr>
              <w:t>家</w:t>
            </w:r>
            <w:r>
              <w:rPr>
                <w:rFonts w:hint="eastAsia" w:ascii="仿宋" w:hAnsi="仿宋" w:eastAsia="仿宋" w:cs="仿宋"/>
                <w:b/>
                <w:bCs/>
                <w:color w:val="auto"/>
                <w:spacing w:val="7"/>
                <w:sz w:val="24"/>
                <w:szCs w:val="24"/>
                <w:highlight w:val="none"/>
                <w:lang w:eastAsia="zh-CN"/>
              </w:rPr>
              <w:t>。</w:t>
            </w:r>
          </w:p>
          <w:p w14:paraId="141DB4A0">
            <w:pPr>
              <w:pStyle w:val="21"/>
              <w:spacing w:before="87" w:line="227" w:lineRule="auto"/>
              <w:ind w:left="115"/>
              <w:rPr>
                <w:rFonts w:hint="eastAsia" w:ascii="仿宋" w:hAnsi="仿宋" w:eastAsia="仿宋" w:cs="仿宋"/>
                <w:b/>
                <w:bCs/>
                <w:color w:val="auto"/>
                <w:sz w:val="24"/>
                <w:szCs w:val="24"/>
                <w:highlight w:val="none"/>
              </w:rPr>
            </w:pPr>
            <w:r>
              <w:rPr>
                <w:rFonts w:hint="eastAsia" w:ascii="仿宋" w:hAnsi="仿宋" w:eastAsia="仿宋" w:cs="仿宋"/>
                <w:b/>
                <w:bCs/>
                <w:color w:val="auto"/>
                <w:spacing w:val="9"/>
                <w:sz w:val="24"/>
                <w:szCs w:val="24"/>
                <w:highlight w:val="none"/>
                <w:lang w:val="en-US" w:eastAsia="zh-CN"/>
              </w:rPr>
              <w:t>1、</w:t>
            </w:r>
            <w:r>
              <w:rPr>
                <w:rFonts w:hint="eastAsia" w:ascii="仿宋" w:hAnsi="仿宋" w:eastAsia="仿宋" w:cs="仿宋"/>
                <w:b/>
                <w:bCs/>
                <w:color w:val="auto"/>
                <w:spacing w:val="9"/>
                <w:sz w:val="24"/>
                <w:szCs w:val="24"/>
                <w:highlight w:val="none"/>
              </w:rPr>
              <w:t>当提交响应文件和符合征集文件资格条件、实质性要求的</w:t>
            </w:r>
            <w:r>
              <w:rPr>
                <w:rFonts w:hint="eastAsia" w:ascii="仿宋" w:hAnsi="仿宋" w:eastAsia="仿宋" w:cs="仿宋"/>
                <w:b/>
                <w:bCs/>
                <w:color w:val="auto"/>
                <w:spacing w:val="6"/>
                <w:sz w:val="24"/>
                <w:szCs w:val="24"/>
                <w:highlight w:val="none"/>
              </w:rPr>
              <w:t>供应</w:t>
            </w:r>
            <w:r>
              <w:rPr>
                <w:rFonts w:hint="eastAsia" w:ascii="仿宋" w:hAnsi="仿宋" w:eastAsia="仿宋" w:cs="仿宋"/>
                <w:b/>
                <w:bCs/>
                <w:color w:val="auto"/>
                <w:sz w:val="24"/>
                <w:szCs w:val="24"/>
                <w:highlight w:val="none"/>
              </w:rPr>
              <w:t>商≥</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家时，按照质量评分从高到低排序选取前</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家为入围供应商(淘汰比例一般不得低于20%)；</w:t>
            </w:r>
          </w:p>
          <w:p w14:paraId="6C7709BD">
            <w:pPr>
              <w:pStyle w:val="21"/>
              <w:spacing w:before="87" w:line="227" w:lineRule="auto"/>
              <w:ind w:firstLine="241" w:firstLineChars="1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当提交响应文件和符合征集文件资格条件、实质性要求的供应商＜</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家时，仅按比例淘汰供应商。(淘汰比例一般不得低于20%，且最少淘汰一家。)</w:t>
            </w:r>
          </w:p>
          <w:p w14:paraId="4EC3CAA1">
            <w:pPr>
              <w:pStyle w:val="21"/>
              <w:spacing w:before="87" w:line="227" w:lineRule="auto"/>
              <w:ind w:left="11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2、3、4、5、7、9</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拟推荐入围供应商的数量：</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家</w:t>
            </w:r>
          </w:p>
          <w:p w14:paraId="366612E2">
            <w:pPr>
              <w:pStyle w:val="21"/>
              <w:spacing w:before="87" w:line="227" w:lineRule="auto"/>
              <w:ind w:left="115"/>
              <w:rPr>
                <w:rFonts w:hint="eastAsia" w:ascii="仿宋" w:hAnsi="仿宋" w:eastAsia="仿宋" w:cs="仿宋"/>
                <w:b/>
                <w:bCs/>
                <w:color w:val="auto"/>
                <w:spacing w:val="9"/>
                <w:sz w:val="24"/>
                <w:szCs w:val="24"/>
                <w:highlight w:val="none"/>
              </w:rPr>
            </w:pPr>
            <w:r>
              <w:rPr>
                <w:rFonts w:hint="eastAsia" w:ascii="仿宋" w:hAnsi="仿宋" w:eastAsia="仿宋" w:cs="仿宋"/>
                <w:b/>
                <w:bCs/>
                <w:color w:val="auto"/>
                <w:spacing w:val="9"/>
                <w:sz w:val="24"/>
                <w:szCs w:val="24"/>
                <w:highlight w:val="none"/>
                <w:lang w:val="en-US" w:eastAsia="zh-CN"/>
              </w:rPr>
              <w:t>1、</w:t>
            </w:r>
            <w:r>
              <w:rPr>
                <w:rFonts w:hint="eastAsia" w:ascii="仿宋" w:hAnsi="仿宋" w:eastAsia="仿宋" w:cs="仿宋"/>
                <w:b/>
                <w:bCs/>
                <w:color w:val="auto"/>
                <w:spacing w:val="9"/>
                <w:sz w:val="24"/>
                <w:szCs w:val="24"/>
                <w:highlight w:val="none"/>
              </w:rPr>
              <w:t>当提交响应文件和符合征集文件资格条件、实质性要求的供应商≥</w:t>
            </w:r>
            <w:r>
              <w:rPr>
                <w:rFonts w:hint="eastAsia" w:ascii="仿宋" w:hAnsi="仿宋" w:eastAsia="仿宋" w:cs="仿宋"/>
                <w:b/>
                <w:bCs/>
                <w:color w:val="auto"/>
                <w:spacing w:val="9"/>
                <w:sz w:val="24"/>
                <w:szCs w:val="24"/>
                <w:highlight w:val="none"/>
                <w:lang w:val="en-US" w:eastAsia="zh-CN"/>
              </w:rPr>
              <w:t>3</w:t>
            </w:r>
            <w:r>
              <w:rPr>
                <w:rFonts w:hint="eastAsia" w:ascii="仿宋" w:hAnsi="仿宋" w:eastAsia="仿宋" w:cs="仿宋"/>
                <w:b/>
                <w:bCs/>
                <w:color w:val="auto"/>
                <w:spacing w:val="9"/>
                <w:sz w:val="24"/>
                <w:szCs w:val="24"/>
                <w:highlight w:val="none"/>
              </w:rPr>
              <w:t>家时，按照质量评分从高到低排序选取前</w:t>
            </w:r>
            <w:r>
              <w:rPr>
                <w:rFonts w:hint="eastAsia" w:ascii="仿宋" w:hAnsi="仿宋" w:eastAsia="仿宋" w:cs="仿宋"/>
                <w:b/>
                <w:bCs/>
                <w:color w:val="auto"/>
                <w:spacing w:val="9"/>
                <w:sz w:val="24"/>
                <w:szCs w:val="24"/>
                <w:highlight w:val="none"/>
                <w:lang w:val="en-US" w:eastAsia="zh-CN"/>
              </w:rPr>
              <w:t>3</w:t>
            </w:r>
            <w:r>
              <w:rPr>
                <w:rFonts w:hint="eastAsia" w:ascii="仿宋" w:hAnsi="仿宋" w:eastAsia="仿宋" w:cs="仿宋"/>
                <w:b/>
                <w:bCs/>
                <w:color w:val="auto"/>
                <w:spacing w:val="9"/>
                <w:sz w:val="24"/>
                <w:szCs w:val="24"/>
                <w:highlight w:val="none"/>
              </w:rPr>
              <w:t>家为入围供应商(淘汰比例一般不得低于20%)；</w:t>
            </w:r>
          </w:p>
          <w:p w14:paraId="7E0F898E">
            <w:pPr>
              <w:pStyle w:val="21"/>
              <w:spacing w:before="87" w:line="227" w:lineRule="auto"/>
              <w:ind w:left="115"/>
              <w:rPr>
                <w:rFonts w:hint="eastAsia" w:ascii="仿宋" w:hAnsi="仿宋" w:eastAsia="仿宋" w:cs="仿宋"/>
                <w:b/>
                <w:bCs/>
                <w:color w:val="auto"/>
                <w:spacing w:val="9"/>
                <w:sz w:val="24"/>
                <w:szCs w:val="24"/>
                <w:highlight w:val="none"/>
              </w:rPr>
            </w:pPr>
            <w:r>
              <w:rPr>
                <w:rFonts w:hint="eastAsia" w:ascii="仿宋" w:hAnsi="仿宋" w:eastAsia="仿宋" w:cs="仿宋"/>
                <w:b/>
                <w:bCs/>
                <w:color w:val="auto"/>
                <w:spacing w:val="9"/>
                <w:sz w:val="24"/>
                <w:szCs w:val="24"/>
                <w:highlight w:val="none"/>
                <w:lang w:val="en-US" w:eastAsia="zh-CN"/>
              </w:rPr>
              <w:t>2、</w:t>
            </w:r>
            <w:r>
              <w:rPr>
                <w:rFonts w:hint="eastAsia" w:ascii="仿宋" w:hAnsi="仿宋" w:eastAsia="仿宋" w:cs="仿宋"/>
                <w:b/>
                <w:bCs/>
                <w:color w:val="auto"/>
                <w:spacing w:val="9"/>
                <w:sz w:val="24"/>
                <w:szCs w:val="24"/>
                <w:highlight w:val="none"/>
              </w:rPr>
              <w:t>当提交响应文件和符合征集文件资格条件、实质性要求的供应商＜</w:t>
            </w:r>
            <w:r>
              <w:rPr>
                <w:rFonts w:hint="eastAsia" w:ascii="仿宋" w:hAnsi="仿宋" w:eastAsia="仿宋" w:cs="仿宋"/>
                <w:b/>
                <w:bCs/>
                <w:color w:val="auto"/>
                <w:spacing w:val="9"/>
                <w:sz w:val="24"/>
                <w:szCs w:val="24"/>
                <w:highlight w:val="none"/>
                <w:lang w:val="en-US" w:eastAsia="zh-CN"/>
              </w:rPr>
              <w:t>3</w:t>
            </w:r>
            <w:r>
              <w:rPr>
                <w:rFonts w:hint="eastAsia" w:ascii="仿宋" w:hAnsi="仿宋" w:eastAsia="仿宋" w:cs="仿宋"/>
                <w:b/>
                <w:bCs/>
                <w:color w:val="auto"/>
                <w:spacing w:val="9"/>
                <w:sz w:val="24"/>
                <w:szCs w:val="24"/>
                <w:highlight w:val="none"/>
              </w:rPr>
              <w:t>家时，仅按比例淘汰供应商。(淘汰比例一般不得低于20%，且最少淘汰一家。</w:t>
            </w:r>
          </w:p>
          <w:p w14:paraId="0014846A">
            <w:pPr>
              <w:pStyle w:val="21"/>
              <w:spacing w:before="87" w:line="227" w:lineRule="auto"/>
              <w:ind w:left="11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拟推荐入围供应商的数量：</w:t>
            </w:r>
            <w:r>
              <w:rPr>
                <w:rFonts w:hint="eastAsia" w:ascii="仿宋" w:hAnsi="仿宋" w:eastAsia="仿宋" w:cs="仿宋"/>
                <w:b/>
                <w:bCs/>
                <w:color w:val="auto"/>
                <w:sz w:val="24"/>
                <w:szCs w:val="24"/>
                <w:highlight w:val="none"/>
                <w:lang w:val="en-US" w:eastAsia="zh-CN"/>
              </w:rPr>
              <w:t>10</w:t>
            </w:r>
            <w:r>
              <w:rPr>
                <w:rFonts w:hint="eastAsia" w:ascii="仿宋" w:hAnsi="仿宋" w:eastAsia="仿宋" w:cs="仿宋"/>
                <w:b/>
                <w:bCs/>
                <w:color w:val="auto"/>
                <w:sz w:val="24"/>
                <w:szCs w:val="24"/>
                <w:highlight w:val="none"/>
              </w:rPr>
              <w:t>家</w:t>
            </w:r>
          </w:p>
          <w:p w14:paraId="5F17935B">
            <w:pPr>
              <w:pStyle w:val="21"/>
              <w:spacing w:before="87" w:line="227" w:lineRule="auto"/>
              <w:ind w:left="115"/>
              <w:rPr>
                <w:rFonts w:hint="eastAsia" w:ascii="仿宋" w:hAnsi="仿宋" w:eastAsia="仿宋" w:cs="仿宋"/>
                <w:b/>
                <w:bCs/>
                <w:color w:val="auto"/>
                <w:spacing w:val="9"/>
                <w:sz w:val="24"/>
                <w:szCs w:val="24"/>
                <w:highlight w:val="none"/>
                <w:lang w:val="en-US" w:eastAsia="zh-CN"/>
              </w:rPr>
            </w:pPr>
            <w:r>
              <w:rPr>
                <w:rFonts w:hint="eastAsia" w:ascii="仿宋" w:hAnsi="仿宋" w:eastAsia="仿宋" w:cs="仿宋"/>
                <w:b/>
                <w:bCs/>
                <w:color w:val="auto"/>
                <w:spacing w:val="9"/>
                <w:sz w:val="24"/>
                <w:szCs w:val="24"/>
                <w:highlight w:val="none"/>
                <w:lang w:val="en-US" w:eastAsia="zh-CN"/>
              </w:rPr>
              <w:t>1、当提交响应文件和符合征集文件资格条件、实质性要求的供应商≥10家时，按照质量评分从高到低排序选取前10家为入围供应商(淘汰比例一般不得低于20%)；</w:t>
            </w:r>
          </w:p>
          <w:p w14:paraId="6F464794">
            <w:pPr>
              <w:pStyle w:val="21"/>
              <w:spacing w:before="87" w:line="227" w:lineRule="auto"/>
              <w:ind w:left="115"/>
              <w:rPr>
                <w:rFonts w:hint="eastAsia" w:ascii="仿宋" w:hAnsi="仿宋" w:eastAsia="仿宋" w:cs="仿宋"/>
                <w:b/>
                <w:bCs/>
                <w:color w:val="auto"/>
                <w:spacing w:val="9"/>
                <w:sz w:val="24"/>
                <w:szCs w:val="24"/>
                <w:highlight w:val="none"/>
                <w:lang w:val="en-US" w:eastAsia="zh-CN"/>
              </w:rPr>
            </w:pPr>
            <w:r>
              <w:rPr>
                <w:rFonts w:hint="eastAsia" w:ascii="仿宋" w:hAnsi="仿宋" w:eastAsia="仿宋" w:cs="仿宋"/>
                <w:b/>
                <w:bCs/>
                <w:color w:val="auto"/>
                <w:spacing w:val="9"/>
                <w:sz w:val="24"/>
                <w:szCs w:val="24"/>
                <w:highlight w:val="none"/>
                <w:lang w:val="en-US" w:eastAsia="zh-CN"/>
              </w:rPr>
              <w:t>2、当提交响应文件和符合征集文件资格条件、实质性要求的供应商＜10家时，仅按比例淘汰供应商。(淘汰比例一般不得低于20%，且最少淘汰一家。</w:t>
            </w:r>
          </w:p>
          <w:p w14:paraId="1C258089">
            <w:pPr>
              <w:pStyle w:val="21"/>
              <w:spacing w:before="87" w:line="227" w:lineRule="auto"/>
              <w:ind w:left="115"/>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【标项</w:t>
            </w:r>
            <w:r>
              <w:rPr>
                <w:rFonts w:hint="eastAsia" w:ascii="仿宋" w:hAnsi="仿宋" w:eastAsia="仿宋" w:cs="仿宋"/>
                <w:b/>
                <w:bCs/>
                <w:color w:val="auto"/>
                <w:sz w:val="24"/>
                <w:szCs w:val="24"/>
                <w:highlight w:val="none"/>
                <w:lang w:val="en-US" w:eastAsia="zh-CN"/>
              </w:rPr>
              <w:t>10</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拟推荐入围供应商的数量：</w:t>
            </w:r>
            <w:r>
              <w:rPr>
                <w:rFonts w:hint="eastAsia" w:ascii="仿宋" w:hAnsi="仿宋" w:eastAsia="仿宋" w:cs="仿宋"/>
                <w:b/>
                <w:bCs/>
                <w:color w:val="auto"/>
                <w:sz w:val="24"/>
                <w:szCs w:val="24"/>
                <w:highlight w:val="none"/>
                <w:lang w:val="en-US" w:eastAsia="zh-CN"/>
              </w:rPr>
              <w:t>6</w:t>
            </w:r>
            <w:r>
              <w:rPr>
                <w:rFonts w:hint="eastAsia" w:ascii="仿宋" w:hAnsi="仿宋" w:eastAsia="仿宋" w:cs="仿宋"/>
                <w:b/>
                <w:bCs/>
                <w:color w:val="auto"/>
                <w:sz w:val="24"/>
                <w:szCs w:val="24"/>
                <w:highlight w:val="none"/>
              </w:rPr>
              <w:t>家</w:t>
            </w:r>
          </w:p>
          <w:p w14:paraId="40C3DF62">
            <w:pPr>
              <w:pStyle w:val="21"/>
              <w:spacing w:before="87" w:line="227" w:lineRule="auto"/>
              <w:ind w:left="115"/>
              <w:rPr>
                <w:rFonts w:hint="eastAsia" w:ascii="仿宋" w:hAnsi="仿宋" w:eastAsia="仿宋" w:cs="仿宋"/>
                <w:b/>
                <w:bCs/>
                <w:color w:val="auto"/>
                <w:spacing w:val="9"/>
                <w:sz w:val="24"/>
                <w:szCs w:val="24"/>
                <w:highlight w:val="none"/>
                <w:lang w:val="en-US" w:eastAsia="zh-CN"/>
              </w:rPr>
            </w:pPr>
            <w:r>
              <w:rPr>
                <w:rFonts w:hint="eastAsia" w:ascii="仿宋" w:hAnsi="仿宋" w:eastAsia="仿宋" w:cs="仿宋"/>
                <w:b/>
                <w:bCs/>
                <w:color w:val="auto"/>
                <w:spacing w:val="9"/>
                <w:sz w:val="24"/>
                <w:szCs w:val="24"/>
                <w:highlight w:val="none"/>
                <w:lang w:val="en-US" w:eastAsia="zh-CN"/>
              </w:rPr>
              <w:t>1、当提交响应文件和符合征集文件资格条件、实质性要求的供应商≥6家时，按照质量评分从高到低排序选取前6家为入围供应商(淘汰比例一般不得低于20%)；</w:t>
            </w:r>
          </w:p>
          <w:p w14:paraId="26BF417D">
            <w:pPr>
              <w:pStyle w:val="21"/>
              <w:spacing w:before="87" w:line="227" w:lineRule="auto"/>
              <w:ind w:left="115"/>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pacing w:val="9"/>
                <w:sz w:val="24"/>
                <w:szCs w:val="24"/>
                <w:highlight w:val="none"/>
                <w:lang w:val="en-US" w:eastAsia="zh-CN"/>
              </w:rPr>
              <w:t>2、当提交响应文件和符合征集文件资格条件、实质性要求的供应商＜6家时，仅按比例淘汰供应商。(淘汰比例一般不得低于20%，且最少淘汰一家。)</w:t>
            </w:r>
          </w:p>
        </w:tc>
      </w:tr>
      <w:tr w14:paraId="2F205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893" w:type="dxa"/>
            <w:tcBorders>
              <w:top w:val="single" w:color="000000" w:sz="2" w:space="0"/>
              <w:left w:val="single" w:color="000000" w:sz="6" w:space="0"/>
              <w:bottom w:val="single" w:color="000000" w:sz="2" w:space="0"/>
            </w:tcBorders>
            <w:vAlign w:val="center"/>
          </w:tcPr>
          <w:p w14:paraId="55B17FF3">
            <w:pPr>
              <w:pStyle w:val="21"/>
              <w:spacing w:before="75" w:line="189" w:lineRule="auto"/>
              <w:jc w:val="center"/>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26</w:t>
            </w:r>
          </w:p>
        </w:tc>
        <w:tc>
          <w:tcPr>
            <w:tcW w:w="2087" w:type="dxa"/>
            <w:vAlign w:val="top"/>
          </w:tcPr>
          <w:p w14:paraId="513D2267">
            <w:pPr>
              <w:pStyle w:val="21"/>
              <w:spacing w:before="313" w:line="258" w:lineRule="auto"/>
              <w:ind w:right="196" w:rightChars="0"/>
              <w:jc w:val="center"/>
              <w:rPr>
                <w:rFonts w:hint="eastAsia" w:ascii="仿宋" w:hAnsi="仿宋" w:eastAsia="仿宋" w:cs="仿宋"/>
                <w:color w:val="auto"/>
                <w:spacing w:val="7"/>
                <w:sz w:val="24"/>
                <w:szCs w:val="24"/>
                <w:highlight w:val="none"/>
              </w:rPr>
            </w:pPr>
            <w:r>
              <w:rPr>
                <w:rFonts w:hint="eastAsia" w:ascii="仿宋" w:hAnsi="仿宋" w:eastAsia="仿宋" w:cs="仿宋"/>
                <w:color w:val="auto"/>
                <w:spacing w:val="6"/>
                <w:sz w:val="24"/>
                <w:szCs w:val="24"/>
                <w:highlight w:val="none"/>
              </w:rPr>
              <w:t>第二阶段成交供应商确定方式</w:t>
            </w:r>
          </w:p>
        </w:tc>
        <w:tc>
          <w:tcPr>
            <w:tcW w:w="7261" w:type="dxa"/>
            <w:tcBorders>
              <w:right w:val="single" w:color="000000" w:sz="6" w:space="0"/>
            </w:tcBorders>
            <w:vAlign w:val="center"/>
          </w:tcPr>
          <w:p w14:paraId="415D60EB">
            <w:pPr>
              <w:pStyle w:val="21"/>
              <w:spacing w:before="74" w:line="242" w:lineRule="auto"/>
              <w:ind w:right="110" w:rightChars="0"/>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按照《政府采购框架协议采购方式管理暂行办法》采用直接选定方式对入围供应商授予采购合同。</w:t>
            </w:r>
          </w:p>
        </w:tc>
      </w:tr>
      <w:tr w14:paraId="1A8A1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93" w:type="dxa"/>
            <w:tcBorders>
              <w:top w:val="single" w:color="000000" w:sz="2" w:space="0"/>
              <w:left w:val="single" w:color="000000" w:sz="6" w:space="0"/>
              <w:bottom w:val="single" w:color="000000" w:sz="2" w:space="0"/>
            </w:tcBorders>
            <w:vAlign w:val="center"/>
          </w:tcPr>
          <w:p w14:paraId="62DCA117">
            <w:pPr>
              <w:pStyle w:val="21"/>
              <w:spacing w:before="75" w:line="189" w:lineRule="auto"/>
              <w:jc w:val="center"/>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3"/>
                <w:sz w:val="24"/>
                <w:szCs w:val="24"/>
                <w:highlight w:val="none"/>
                <w:lang w:val="en-US" w:eastAsia="zh-CN"/>
              </w:rPr>
              <w:t>27</w:t>
            </w:r>
          </w:p>
        </w:tc>
        <w:tc>
          <w:tcPr>
            <w:tcW w:w="2087" w:type="dxa"/>
            <w:vAlign w:val="top"/>
          </w:tcPr>
          <w:p w14:paraId="0C7ED4A0">
            <w:pPr>
              <w:spacing w:line="274" w:lineRule="auto"/>
              <w:rPr>
                <w:rFonts w:hint="eastAsia" w:ascii="仿宋" w:hAnsi="仿宋" w:eastAsia="仿宋" w:cs="仿宋"/>
                <w:color w:val="auto"/>
                <w:sz w:val="24"/>
                <w:szCs w:val="24"/>
                <w:highlight w:val="none"/>
              </w:rPr>
            </w:pPr>
          </w:p>
          <w:p w14:paraId="761AB9CF">
            <w:pPr>
              <w:spacing w:line="275" w:lineRule="auto"/>
              <w:rPr>
                <w:rFonts w:hint="eastAsia" w:ascii="仿宋" w:hAnsi="仿宋" w:eastAsia="仿宋" w:cs="仿宋"/>
                <w:color w:val="auto"/>
                <w:sz w:val="24"/>
                <w:szCs w:val="24"/>
                <w:highlight w:val="none"/>
              </w:rPr>
            </w:pPr>
          </w:p>
          <w:p w14:paraId="283291A1">
            <w:pPr>
              <w:pStyle w:val="21"/>
              <w:spacing w:before="75" w:line="228" w:lineRule="auto"/>
              <w:rPr>
                <w:rFonts w:hint="eastAsia" w:ascii="仿宋" w:hAnsi="仿宋" w:eastAsia="仿宋" w:cs="仿宋"/>
                <w:color w:val="auto"/>
                <w:spacing w:val="7"/>
                <w:sz w:val="24"/>
                <w:szCs w:val="24"/>
                <w:highlight w:val="none"/>
              </w:rPr>
            </w:pPr>
            <w:r>
              <w:rPr>
                <w:rFonts w:hint="eastAsia" w:ascii="仿宋" w:hAnsi="仿宋" w:eastAsia="仿宋" w:cs="仿宋"/>
                <w:color w:val="auto"/>
                <w:spacing w:val="5"/>
                <w:sz w:val="24"/>
                <w:szCs w:val="24"/>
                <w:highlight w:val="none"/>
              </w:rPr>
              <w:t>履约保证金金</w:t>
            </w:r>
          </w:p>
        </w:tc>
        <w:tc>
          <w:tcPr>
            <w:tcW w:w="7261" w:type="dxa"/>
            <w:tcBorders>
              <w:right w:val="single" w:color="000000" w:sz="6" w:space="0"/>
            </w:tcBorders>
            <w:vAlign w:val="top"/>
          </w:tcPr>
          <w:p w14:paraId="49B38CE2">
            <w:pPr>
              <w:pStyle w:val="21"/>
              <w:spacing w:before="90" w:line="371" w:lineRule="auto"/>
              <w:ind w:left="115" w:leftChars="0" w:right="101" w:rightChars="0" w:firstLine="6" w:firstLineChars="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履约保证金金额：以支票、汇票、本票或者金融机构、担保机</w:t>
            </w:r>
            <w:r>
              <w:rPr>
                <w:rFonts w:hint="eastAsia" w:ascii="仿宋" w:hAnsi="仿宋" w:eastAsia="仿宋" w:cs="仿宋"/>
                <w:color w:val="auto"/>
                <w:spacing w:val="2"/>
                <w:sz w:val="24"/>
                <w:szCs w:val="24"/>
                <w:highlight w:val="none"/>
              </w:rPr>
              <w:t>构出具的保函等非现金形式，每家提</w:t>
            </w:r>
            <w:r>
              <w:rPr>
                <w:rFonts w:hint="eastAsia" w:ascii="仿宋" w:hAnsi="仿宋" w:eastAsia="仿宋" w:cs="仿宋"/>
                <w:b/>
                <w:bCs/>
                <w:color w:val="auto"/>
                <w:spacing w:val="2"/>
                <w:sz w:val="24"/>
                <w:szCs w:val="24"/>
                <w:highlight w:val="none"/>
              </w:rPr>
              <w:t>交</w:t>
            </w:r>
            <w:r>
              <w:rPr>
                <w:rFonts w:hint="eastAsia" w:ascii="仿宋" w:hAnsi="仿宋" w:eastAsia="仿宋" w:cs="仿宋"/>
                <w:b/>
                <w:bCs/>
                <w:color w:val="auto"/>
                <w:spacing w:val="2"/>
                <w:sz w:val="24"/>
                <w:szCs w:val="24"/>
                <w:highlight w:val="none"/>
                <w:u w:val="single"/>
                <w:lang w:val="en-US" w:eastAsia="zh-CN"/>
              </w:rPr>
              <w:t xml:space="preserve">  / </w:t>
            </w:r>
            <w:r>
              <w:rPr>
                <w:rFonts w:hint="eastAsia" w:ascii="仿宋" w:hAnsi="仿宋" w:eastAsia="仿宋" w:cs="仿宋"/>
                <w:b/>
                <w:bCs/>
                <w:color w:val="auto"/>
                <w:spacing w:val="2"/>
                <w:sz w:val="24"/>
                <w:szCs w:val="24"/>
                <w:highlight w:val="none"/>
              </w:rPr>
              <w:t>元</w:t>
            </w:r>
            <w:r>
              <w:rPr>
                <w:rFonts w:hint="eastAsia" w:ascii="仿宋" w:hAnsi="仿宋" w:eastAsia="仿宋" w:cs="仿宋"/>
                <w:color w:val="auto"/>
                <w:spacing w:val="2"/>
                <w:sz w:val="24"/>
                <w:szCs w:val="24"/>
                <w:highlight w:val="none"/>
              </w:rPr>
              <w:t>的履约保证金；</w:t>
            </w:r>
            <w:r>
              <w:rPr>
                <w:rFonts w:hint="eastAsia" w:ascii="仿宋" w:hAnsi="仿宋" w:eastAsia="仿宋" w:cs="仿宋"/>
                <w:color w:val="auto"/>
                <w:spacing w:val="6"/>
                <w:sz w:val="24"/>
                <w:szCs w:val="24"/>
                <w:highlight w:val="none"/>
              </w:rPr>
              <w:t>服务期满后15个工作日内无息返还。如果乙方不履行合同，履</w:t>
            </w:r>
            <w:r>
              <w:rPr>
                <w:rFonts w:hint="eastAsia" w:ascii="仿宋" w:hAnsi="仿宋" w:eastAsia="仿宋" w:cs="仿宋"/>
                <w:color w:val="auto"/>
                <w:spacing w:val="2"/>
                <w:sz w:val="24"/>
                <w:szCs w:val="24"/>
                <w:highlight w:val="none"/>
              </w:rPr>
              <w:t>约保证金不予退还； 如果乙方未能按合同约定全面履行义务，</w:t>
            </w:r>
            <w:r>
              <w:rPr>
                <w:rFonts w:hint="eastAsia" w:ascii="仿宋" w:hAnsi="仿宋" w:eastAsia="仿宋" w:cs="仿宋"/>
                <w:color w:val="auto"/>
                <w:spacing w:val="6"/>
                <w:sz w:val="24"/>
                <w:szCs w:val="24"/>
                <w:highlight w:val="none"/>
              </w:rPr>
              <w:t>那么甲方有权从履约保证金中取得补偿或赔偿，同时不影响甲</w:t>
            </w:r>
            <w:r>
              <w:rPr>
                <w:rFonts w:hint="eastAsia" w:ascii="仿宋" w:hAnsi="仿宋" w:eastAsia="仿宋" w:cs="仿宋"/>
                <w:color w:val="auto"/>
                <w:spacing w:val="8"/>
                <w:sz w:val="24"/>
                <w:szCs w:val="24"/>
                <w:highlight w:val="none"/>
              </w:rPr>
              <w:t>方要求乙方承担合同约定的超过履约保证金的违约责任的权</w:t>
            </w:r>
            <w:r>
              <w:rPr>
                <w:rFonts w:hint="eastAsia" w:ascii="仿宋" w:hAnsi="仿宋" w:eastAsia="仿宋" w:cs="仿宋"/>
                <w:color w:val="auto"/>
                <w:spacing w:val="-1"/>
                <w:sz w:val="24"/>
                <w:szCs w:val="24"/>
                <w:highlight w:val="none"/>
              </w:rPr>
              <w:t>利。</w:t>
            </w:r>
          </w:p>
        </w:tc>
      </w:tr>
      <w:tr w14:paraId="55EE0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893" w:type="dxa"/>
            <w:tcBorders>
              <w:top w:val="single" w:color="000000" w:sz="2" w:space="0"/>
              <w:left w:val="single" w:color="000000" w:sz="6" w:space="0"/>
              <w:bottom w:val="single" w:color="000000" w:sz="2" w:space="0"/>
            </w:tcBorders>
            <w:vAlign w:val="center"/>
          </w:tcPr>
          <w:p w14:paraId="74AEF7D6">
            <w:pPr>
              <w:pStyle w:val="21"/>
              <w:spacing w:before="75" w:line="189" w:lineRule="auto"/>
              <w:jc w:val="center"/>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28</w:t>
            </w:r>
          </w:p>
        </w:tc>
        <w:tc>
          <w:tcPr>
            <w:tcW w:w="2087" w:type="dxa"/>
            <w:vAlign w:val="top"/>
          </w:tcPr>
          <w:p w14:paraId="0440A2CD">
            <w:pPr>
              <w:spacing w:line="315" w:lineRule="auto"/>
              <w:rPr>
                <w:rFonts w:hint="eastAsia" w:ascii="仿宋" w:hAnsi="仿宋" w:eastAsia="仿宋" w:cs="仿宋"/>
                <w:color w:val="auto"/>
                <w:sz w:val="24"/>
                <w:szCs w:val="24"/>
                <w:highlight w:val="none"/>
              </w:rPr>
            </w:pPr>
          </w:p>
          <w:p w14:paraId="6E2B16EB">
            <w:pPr>
              <w:spacing w:line="316" w:lineRule="auto"/>
              <w:rPr>
                <w:rFonts w:hint="eastAsia" w:ascii="仿宋" w:hAnsi="仿宋" w:eastAsia="仿宋" w:cs="仿宋"/>
                <w:color w:val="auto"/>
                <w:sz w:val="24"/>
                <w:szCs w:val="24"/>
                <w:highlight w:val="none"/>
              </w:rPr>
            </w:pPr>
          </w:p>
          <w:p w14:paraId="706FC6EB">
            <w:pPr>
              <w:spacing w:line="316" w:lineRule="auto"/>
              <w:jc w:val="center"/>
              <w:rPr>
                <w:rFonts w:hint="eastAsia" w:ascii="仿宋" w:hAnsi="仿宋" w:eastAsia="仿宋" w:cs="仿宋"/>
                <w:color w:val="auto"/>
                <w:sz w:val="24"/>
                <w:szCs w:val="24"/>
                <w:highlight w:val="none"/>
              </w:rPr>
            </w:pPr>
          </w:p>
          <w:p w14:paraId="6AE8BE76">
            <w:pPr>
              <w:pStyle w:val="21"/>
              <w:spacing w:before="75" w:line="227" w:lineRule="auto"/>
              <w:ind w:left="191" w:leftChars="0"/>
              <w:jc w:val="center"/>
              <w:rPr>
                <w:rFonts w:hint="eastAsia" w:ascii="仿宋" w:hAnsi="仿宋" w:eastAsia="仿宋" w:cs="仿宋"/>
                <w:color w:val="auto"/>
                <w:spacing w:val="5"/>
                <w:sz w:val="24"/>
                <w:szCs w:val="24"/>
                <w:highlight w:val="none"/>
              </w:rPr>
            </w:pPr>
            <w:r>
              <w:rPr>
                <w:rFonts w:hint="eastAsia" w:ascii="仿宋" w:hAnsi="仿宋" w:eastAsia="仿宋" w:cs="仿宋"/>
                <w:color w:val="auto"/>
                <w:spacing w:val="6"/>
                <w:sz w:val="24"/>
                <w:szCs w:val="24"/>
                <w:highlight w:val="none"/>
              </w:rPr>
              <w:t>招标代理服务费</w:t>
            </w:r>
          </w:p>
        </w:tc>
        <w:tc>
          <w:tcPr>
            <w:tcW w:w="7261" w:type="dxa"/>
            <w:tcBorders>
              <w:right w:val="single" w:color="000000" w:sz="6" w:space="0"/>
            </w:tcBorders>
            <w:vAlign w:val="top"/>
          </w:tcPr>
          <w:p w14:paraId="5CCE6302">
            <w:pPr>
              <w:pStyle w:val="21"/>
              <w:spacing w:before="93" w:line="227"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是否由入围供应商缴纳招标代理费：是</w:t>
            </w:r>
          </w:p>
          <w:p w14:paraId="30E1394A">
            <w:pPr>
              <w:pStyle w:val="21"/>
              <w:spacing w:before="166" w:line="482" w:lineRule="exact"/>
              <w:ind w:left="116"/>
              <w:rPr>
                <w:rFonts w:hint="eastAsia" w:ascii="仿宋" w:hAnsi="仿宋" w:eastAsia="仿宋" w:cs="仿宋"/>
                <w:color w:val="auto"/>
                <w:sz w:val="24"/>
                <w:szCs w:val="24"/>
                <w:highlight w:val="none"/>
              </w:rPr>
            </w:pPr>
            <w:r>
              <w:rPr>
                <w:rFonts w:hint="eastAsia" w:ascii="仿宋" w:hAnsi="仿宋" w:eastAsia="仿宋" w:cs="仿宋"/>
                <w:color w:val="auto"/>
                <w:spacing w:val="4"/>
                <w:position w:val="18"/>
                <w:sz w:val="24"/>
                <w:szCs w:val="24"/>
                <w:highlight w:val="none"/>
              </w:rPr>
              <w:t>招标代理费：项目代理服务费由中标人在领取入围通知</w:t>
            </w:r>
            <w:r>
              <w:rPr>
                <w:rFonts w:hint="eastAsia" w:ascii="仿宋" w:hAnsi="仿宋" w:eastAsia="仿宋" w:cs="仿宋"/>
                <w:color w:val="auto"/>
                <w:spacing w:val="3"/>
                <w:position w:val="18"/>
                <w:sz w:val="24"/>
                <w:szCs w:val="24"/>
                <w:highlight w:val="none"/>
              </w:rPr>
              <w:t>书前</w:t>
            </w:r>
          </w:p>
          <w:p w14:paraId="7422E4C7">
            <w:pPr>
              <w:pStyle w:val="21"/>
              <w:spacing w:line="226" w:lineRule="auto"/>
              <w:ind w:left="121"/>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一次性向采购代理机构支付。</w:t>
            </w:r>
            <w:r>
              <w:rPr>
                <w:rFonts w:hint="eastAsia" w:ascii="仿宋" w:hAnsi="仿宋" w:eastAsia="仿宋" w:cs="仿宋"/>
                <w:b/>
                <w:bCs/>
                <w:color w:val="auto"/>
                <w:spacing w:val="7"/>
                <w:sz w:val="24"/>
                <w:szCs w:val="24"/>
                <w:highlight w:val="none"/>
              </w:rPr>
              <w:t>（入围供应商每家</w:t>
            </w:r>
            <w:r>
              <w:rPr>
                <w:rFonts w:hint="eastAsia" w:ascii="仿宋" w:hAnsi="仿宋" w:eastAsia="仿宋" w:cs="仿宋"/>
                <w:b/>
                <w:bCs/>
                <w:color w:val="auto"/>
                <w:spacing w:val="7"/>
                <w:sz w:val="24"/>
                <w:szCs w:val="24"/>
                <w:highlight w:val="none"/>
                <w:lang w:val="en-US" w:eastAsia="zh-CN"/>
              </w:rPr>
              <w:t>6</w:t>
            </w:r>
            <w:r>
              <w:rPr>
                <w:rFonts w:hint="eastAsia" w:ascii="仿宋" w:hAnsi="仿宋" w:eastAsia="仿宋" w:cs="仿宋"/>
                <w:b/>
                <w:bCs/>
                <w:color w:val="auto"/>
                <w:spacing w:val="7"/>
                <w:sz w:val="24"/>
                <w:szCs w:val="24"/>
                <w:highlight w:val="none"/>
              </w:rPr>
              <w:t>000元）</w:t>
            </w:r>
          </w:p>
          <w:p w14:paraId="33EA0AD5">
            <w:pPr>
              <w:pStyle w:val="21"/>
              <w:spacing w:before="180" w:line="227" w:lineRule="auto"/>
              <w:ind w:left="116"/>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支付形式：与代理机构联系确定</w:t>
            </w:r>
          </w:p>
          <w:p w14:paraId="2CF7E187">
            <w:pPr>
              <w:pStyle w:val="21"/>
              <w:spacing w:before="185" w:line="227" w:lineRule="auto"/>
              <w:ind w:left="116" w:leftChars="0"/>
              <w:rPr>
                <w:rFonts w:hint="eastAsia" w:ascii="仿宋" w:hAnsi="仿宋" w:eastAsia="仿宋" w:cs="仿宋"/>
                <w:color w:val="auto"/>
                <w:spacing w:val="6"/>
                <w:sz w:val="24"/>
                <w:szCs w:val="24"/>
                <w:highlight w:val="none"/>
              </w:rPr>
            </w:pPr>
            <w:r>
              <w:rPr>
                <w:rFonts w:hint="eastAsia" w:ascii="仿宋" w:hAnsi="仿宋" w:eastAsia="仿宋" w:cs="仿宋"/>
                <w:color w:val="auto"/>
                <w:spacing w:val="8"/>
                <w:sz w:val="24"/>
                <w:szCs w:val="24"/>
                <w:highlight w:val="none"/>
              </w:rPr>
              <w:t>支付时间：与代理机构联系确定</w:t>
            </w:r>
          </w:p>
        </w:tc>
      </w:tr>
      <w:tr w14:paraId="233E7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893" w:type="dxa"/>
            <w:vMerge w:val="restart"/>
            <w:tcBorders>
              <w:top w:val="single" w:color="000000" w:sz="2" w:space="0"/>
              <w:left w:val="single" w:color="000000" w:sz="6" w:space="0"/>
            </w:tcBorders>
            <w:vAlign w:val="center"/>
          </w:tcPr>
          <w:p w14:paraId="04673DD9">
            <w:pPr>
              <w:pStyle w:val="21"/>
              <w:spacing w:before="75" w:line="189" w:lineRule="auto"/>
              <w:jc w:val="center"/>
              <w:rPr>
                <w:rFonts w:hint="default"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29</w:t>
            </w:r>
          </w:p>
        </w:tc>
        <w:tc>
          <w:tcPr>
            <w:tcW w:w="2087" w:type="dxa"/>
            <w:vMerge w:val="restart"/>
            <w:vAlign w:val="center"/>
          </w:tcPr>
          <w:p w14:paraId="2C092037">
            <w:pPr>
              <w:pStyle w:val="21"/>
              <w:spacing w:before="75" w:line="365" w:lineRule="auto"/>
              <w:ind w:left="113" w:right="104" w:firstLine="42"/>
              <w:jc w:val="center"/>
              <w:rPr>
                <w:rFonts w:hint="eastAsia" w:ascii="仿宋" w:hAnsi="仿宋" w:eastAsia="仿宋" w:cs="仿宋"/>
                <w:color w:val="auto"/>
                <w:spacing w:val="6"/>
                <w:sz w:val="24"/>
                <w:szCs w:val="24"/>
                <w:highlight w:val="none"/>
              </w:rPr>
            </w:pPr>
            <w:r>
              <w:rPr>
                <w:rFonts w:hint="eastAsia" w:ascii="仿宋" w:hAnsi="仿宋" w:eastAsia="仿宋" w:cs="仿宋"/>
                <w:color w:val="auto"/>
                <w:highlight w:val="none"/>
              </w:rPr>
              <w:t>中小微企业政策</w:t>
            </w:r>
            <w:r>
              <w:rPr>
                <w:rFonts w:hint="eastAsia" w:ascii="仿宋" w:hAnsi="仿宋" w:eastAsia="仿宋" w:cs="仿宋"/>
                <w:color w:val="auto"/>
                <w:spacing w:val="2"/>
                <w:highlight w:val="none"/>
              </w:rPr>
              <w:t xml:space="preserve">  </w:t>
            </w:r>
            <w:r>
              <w:rPr>
                <w:rFonts w:hint="eastAsia" w:ascii="仿宋" w:hAnsi="仿宋" w:eastAsia="仿宋" w:cs="仿宋"/>
                <w:color w:val="auto"/>
                <w:spacing w:val="-1"/>
                <w:highlight w:val="none"/>
              </w:rPr>
              <w:t>文件（本政策仅限</w:t>
            </w:r>
            <w:r>
              <w:rPr>
                <w:rFonts w:hint="eastAsia" w:ascii="仿宋" w:hAnsi="仿宋" w:eastAsia="仿宋" w:cs="仿宋"/>
                <w:color w:val="auto"/>
                <w:spacing w:val="5"/>
                <w:highlight w:val="none"/>
              </w:rPr>
              <w:t>于综合评分法）</w:t>
            </w:r>
          </w:p>
        </w:tc>
        <w:tc>
          <w:tcPr>
            <w:tcW w:w="7261" w:type="dxa"/>
            <w:tcBorders>
              <w:right w:val="single" w:color="000000" w:sz="6" w:space="0"/>
            </w:tcBorders>
            <w:vAlign w:val="top"/>
          </w:tcPr>
          <w:p w14:paraId="38B985C3">
            <w:pPr>
              <w:pStyle w:val="21"/>
              <w:spacing w:before="185" w:line="349" w:lineRule="auto"/>
              <w:ind w:left="114" w:right="103" w:firstLine="24"/>
              <w:jc w:val="both"/>
              <w:rPr>
                <w:rFonts w:hint="eastAsia" w:ascii="仿宋" w:hAnsi="仿宋" w:eastAsia="仿宋" w:cs="仿宋"/>
                <w:color w:val="auto"/>
                <w:spacing w:val="8"/>
                <w:sz w:val="24"/>
                <w:szCs w:val="24"/>
                <w:highlight w:val="none"/>
              </w:rPr>
            </w:pPr>
            <w:r>
              <w:rPr>
                <w:rFonts w:hint="eastAsia" w:ascii="仿宋" w:hAnsi="仿宋" w:eastAsia="仿宋" w:cs="仿宋"/>
                <w:color w:val="auto"/>
                <w:spacing w:val="1"/>
                <w:highlight w:val="none"/>
              </w:rPr>
              <w:t>（1）根据财政部《政府采购促进中小企业发展管理办法》（财</w:t>
            </w:r>
            <w:r>
              <w:rPr>
                <w:rFonts w:hint="eastAsia" w:ascii="仿宋" w:hAnsi="仿宋" w:eastAsia="仿宋" w:cs="仿宋"/>
                <w:color w:val="auto"/>
                <w:spacing w:val="6"/>
                <w:highlight w:val="none"/>
              </w:rPr>
              <w:t>库[2020]46号）</w:t>
            </w:r>
            <w:r>
              <w:rPr>
                <w:rFonts w:hint="eastAsia" w:ascii="仿宋" w:hAnsi="仿宋" w:eastAsia="仿宋" w:cs="仿宋"/>
                <w:color w:val="auto"/>
                <w:spacing w:val="6"/>
                <w:highlight w:val="none"/>
                <w:lang w:eastAsia="zh-CN"/>
              </w:rPr>
              <w:t>、</w:t>
            </w:r>
            <w:r>
              <w:rPr>
                <w:rFonts w:hint="eastAsia" w:ascii="仿宋" w:hAnsi="仿宋" w:eastAsia="仿宋" w:cs="仿宋"/>
                <w:color w:val="auto"/>
                <w:spacing w:val="6"/>
                <w:highlight w:val="none"/>
              </w:rPr>
              <w:t>《关于进一步加大政府采购支持</w:t>
            </w:r>
            <w:r>
              <w:rPr>
                <w:rFonts w:hint="eastAsia" w:ascii="仿宋" w:hAnsi="仿宋" w:eastAsia="仿宋" w:cs="仿宋"/>
                <w:color w:val="auto"/>
                <w:spacing w:val="5"/>
                <w:highlight w:val="none"/>
              </w:rPr>
              <w:t>中小企业力</w:t>
            </w:r>
            <w:r>
              <w:rPr>
                <w:rFonts w:hint="eastAsia" w:ascii="仿宋" w:hAnsi="仿宋" w:eastAsia="仿宋" w:cs="仿宋"/>
                <w:color w:val="auto"/>
                <w:spacing w:val="4"/>
                <w:highlight w:val="none"/>
              </w:rPr>
              <w:t>度的通知》</w:t>
            </w:r>
            <w:r>
              <w:rPr>
                <w:rFonts w:hint="eastAsia" w:ascii="仿宋" w:hAnsi="仿宋" w:eastAsia="仿宋" w:cs="仿宋"/>
                <w:color w:val="auto"/>
                <w:spacing w:val="-58"/>
                <w:highlight w:val="none"/>
              </w:rPr>
              <w:t xml:space="preserve"> </w:t>
            </w:r>
            <w:r>
              <w:rPr>
                <w:rFonts w:hint="eastAsia" w:ascii="仿宋" w:hAnsi="仿宋" w:eastAsia="仿宋" w:cs="仿宋"/>
                <w:color w:val="auto"/>
                <w:spacing w:val="4"/>
                <w:highlight w:val="none"/>
              </w:rPr>
              <w:t>(财库[2022]19号)、</w:t>
            </w:r>
            <w:r>
              <w:rPr>
                <w:rFonts w:hint="eastAsia" w:ascii="仿宋" w:hAnsi="仿宋" w:eastAsia="仿宋" w:cs="仿宋"/>
                <w:color w:val="auto"/>
                <w:spacing w:val="3"/>
                <w:highlight w:val="none"/>
              </w:rPr>
              <w:t>新财购（2022）22号文件《关</w:t>
            </w:r>
            <w:r>
              <w:rPr>
                <w:rFonts w:hint="eastAsia" w:ascii="仿宋" w:hAnsi="仿宋" w:eastAsia="仿宋" w:cs="仿宋"/>
                <w:color w:val="auto"/>
                <w:spacing w:val="1"/>
                <w:highlight w:val="none"/>
              </w:rPr>
              <w:t>于落实好政府采购支持中小企业发展的通知》，投标人及其所</w:t>
            </w:r>
            <w:r>
              <w:rPr>
                <w:rFonts w:hint="eastAsia" w:ascii="仿宋" w:hAnsi="仿宋" w:eastAsia="仿宋" w:cs="仿宋"/>
                <w:color w:val="auto"/>
                <w:spacing w:val="7"/>
                <w:highlight w:val="none"/>
              </w:rPr>
              <w:t>投产品的制造商均属于《工业和信息化部、国家</w:t>
            </w:r>
            <w:r>
              <w:rPr>
                <w:rFonts w:hint="eastAsia" w:ascii="仿宋" w:hAnsi="仿宋" w:eastAsia="仿宋" w:cs="仿宋"/>
                <w:color w:val="auto"/>
                <w:spacing w:val="6"/>
                <w:highlight w:val="none"/>
              </w:rPr>
              <w:t>统计局、国家</w:t>
            </w:r>
            <w:r>
              <w:rPr>
                <w:rFonts w:hint="eastAsia" w:ascii="仿宋" w:hAnsi="仿宋" w:eastAsia="仿宋" w:cs="仿宋"/>
                <w:color w:val="auto"/>
                <w:spacing w:val="7"/>
                <w:highlight w:val="none"/>
              </w:rPr>
              <w:t>发展和改革委员会、财政部关于印发中小企业划</w:t>
            </w:r>
            <w:r>
              <w:rPr>
                <w:rFonts w:hint="eastAsia" w:ascii="仿宋" w:hAnsi="仿宋" w:eastAsia="仿宋" w:cs="仿宋"/>
                <w:color w:val="auto"/>
                <w:spacing w:val="6"/>
                <w:highlight w:val="none"/>
              </w:rPr>
              <w:t>型标准规定的</w:t>
            </w:r>
            <w:r>
              <w:rPr>
                <w:rFonts w:hint="eastAsia" w:ascii="仿宋" w:hAnsi="仿宋" w:eastAsia="仿宋" w:cs="仿宋"/>
                <w:color w:val="auto"/>
                <w:spacing w:val="4"/>
                <w:highlight w:val="none"/>
              </w:rPr>
              <w:t>通知》（工信部联企业[2011]300号）中规定的小型、微型企</w:t>
            </w:r>
            <w:r>
              <w:rPr>
                <w:rFonts w:hint="eastAsia" w:ascii="仿宋" w:hAnsi="仿宋" w:eastAsia="仿宋" w:cs="仿宋"/>
                <w:color w:val="auto"/>
                <w:spacing w:val="6"/>
                <w:highlight w:val="none"/>
              </w:rPr>
              <w:t>业标准的，按文件格式提供《中小企业声明函》。</w:t>
            </w:r>
          </w:p>
        </w:tc>
      </w:tr>
      <w:tr w14:paraId="7904E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893" w:type="dxa"/>
            <w:vMerge w:val="continue"/>
            <w:tcBorders>
              <w:left w:val="single" w:color="000000" w:sz="6" w:space="0"/>
            </w:tcBorders>
            <w:vAlign w:val="top"/>
          </w:tcPr>
          <w:p w14:paraId="6244A068">
            <w:pPr>
              <w:pStyle w:val="21"/>
              <w:spacing w:before="75" w:line="189" w:lineRule="auto"/>
              <w:ind w:left="277" w:leftChars="0"/>
              <w:jc w:val="both"/>
              <w:rPr>
                <w:rFonts w:hint="eastAsia" w:ascii="仿宋" w:hAnsi="仿宋" w:eastAsia="仿宋" w:cs="仿宋"/>
                <w:color w:val="auto"/>
                <w:spacing w:val="-3"/>
                <w:sz w:val="24"/>
                <w:szCs w:val="24"/>
                <w:highlight w:val="none"/>
                <w:lang w:val="en-US" w:eastAsia="zh-CN"/>
              </w:rPr>
            </w:pPr>
          </w:p>
        </w:tc>
        <w:tc>
          <w:tcPr>
            <w:tcW w:w="2087" w:type="dxa"/>
            <w:vMerge w:val="continue"/>
            <w:vAlign w:val="top"/>
          </w:tcPr>
          <w:p w14:paraId="1FC8D85F">
            <w:pPr>
              <w:pStyle w:val="21"/>
              <w:spacing w:before="75" w:line="227" w:lineRule="auto"/>
              <w:ind w:left="191" w:leftChars="0"/>
              <w:rPr>
                <w:rFonts w:hint="eastAsia" w:ascii="仿宋" w:hAnsi="仿宋" w:eastAsia="仿宋" w:cs="仿宋"/>
                <w:color w:val="auto"/>
                <w:spacing w:val="6"/>
                <w:sz w:val="24"/>
                <w:szCs w:val="24"/>
                <w:highlight w:val="none"/>
              </w:rPr>
            </w:pPr>
          </w:p>
        </w:tc>
        <w:tc>
          <w:tcPr>
            <w:tcW w:w="7261" w:type="dxa"/>
            <w:tcBorders>
              <w:right w:val="single" w:color="000000" w:sz="6" w:space="0"/>
            </w:tcBorders>
            <w:vAlign w:val="top"/>
          </w:tcPr>
          <w:p w14:paraId="73F5ADEC">
            <w:pPr>
              <w:pStyle w:val="21"/>
              <w:spacing w:before="179" w:line="349" w:lineRule="auto"/>
              <w:ind w:left="118" w:right="106" w:firstLine="20"/>
              <w:jc w:val="both"/>
              <w:rPr>
                <w:rFonts w:hint="eastAsia" w:ascii="仿宋" w:hAnsi="仿宋" w:eastAsia="仿宋" w:cs="仿宋"/>
                <w:color w:val="auto"/>
                <w:spacing w:val="8"/>
                <w:sz w:val="24"/>
                <w:szCs w:val="24"/>
                <w:highlight w:val="none"/>
              </w:rPr>
            </w:pPr>
            <w:r>
              <w:rPr>
                <w:rFonts w:hint="eastAsia" w:ascii="仿宋" w:hAnsi="仿宋" w:eastAsia="仿宋" w:cs="仿宋"/>
                <w:color w:val="auto"/>
                <w:spacing w:val="10"/>
                <w:highlight w:val="none"/>
              </w:rPr>
              <w:t>（2）根据财政部、司令部《关于政府采购支持监狱企业发展</w:t>
            </w:r>
            <w:r>
              <w:rPr>
                <w:rFonts w:hint="eastAsia" w:ascii="仿宋" w:hAnsi="仿宋" w:eastAsia="仿宋" w:cs="仿宋"/>
                <w:color w:val="auto"/>
                <w:spacing w:val="6"/>
                <w:highlight w:val="none"/>
              </w:rPr>
              <w:t>有关问题》的通知财库[2014]68号，监</w:t>
            </w:r>
            <w:r>
              <w:rPr>
                <w:rFonts w:hint="eastAsia" w:ascii="仿宋" w:hAnsi="仿宋" w:eastAsia="仿宋" w:cs="仿宋"/>
                <w:color w:val="auto"/>
                <w:spacing w:val="5"/>
                <w:highlight w:val="none"/>
              </w:rPr>
              <w:t>狱企业参加本项目投标</w:t>
            </w:r>
            <w:r>
              <w:rPr>
                <w:rFonts w:hint="eastAsia" w:ascii="仿宋" w:hAnsi="仿宋" w:eastAsia="仿宋" w:cs="仿宋"/>
                <w:color w:val="auto"/>
                <w:spacing w:val="6"/>
                <w:highlight w:val="none"/>
              </w:rPr>
              <w:t>时，应当提供由省级以上监狱管理局、戒毒管理局（新疆生产建设兵团）出具的属于监狱企业的证明文件。监狱企业视同小</w:t>
            </w:r>
            <w:r>
              <w:rPr>
                <w:rFonts w:hint="eastAsia" w:ascii="仿宋" w:hAnsi="仿宋" w:eastAsia="仿宋" w:cs="仿宋"/>
                <w:color w:val="auto"/>
                <w:spacing w:val="4"/>
                <w:highlight w:val="none"/>
              </w:rPr>
              <w:t>型、微型企业。</w:t>
            </w:r>
          </w:p>
        </w:tc>
      </w:tr>
      <w:tr w14:paraId="24456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893" w:type="dxa"/>
            <w:vMerge w:val="continue"/>
            <w:tcBorders>
              <w:left w:val="single" w:color="000000" w:sz="6" w:space="0"/>
              <w:bottom w:val="single" w:color="000000" w:sz="2" w:space="0"/>
            </w:tcBorders>
            <w:vAlign w:val="top"/>
          </w:tcPr>
          <w:p w14:paraId="3182C6CA">
            <w:pPr>
              <w:pStyle w:val="21"/>
              <w:spacing w:before="75" w:line="189" w:lineRule="auto"/>
              <w:ind w:left="277" w:leftChars="0"/>
              <w:jc w:val="both"/>
              <w:rPr>
                <w:rFonts w:hint="eastAsia" w:ascii="仿宋" w:hAnsi="仿宋" w:eastAsia="仿宋" w:cs="仿宋"/>
                <w:color w:val="auto"/>
                <w:spacing w:val="-3"/>
                <w:sz w:val="24"/>
                <w:szCs w:val="24"/>
                <w:highlight w:val="none"/>
                <w:lang w:val="en-US" w:eastAsia="zh-CN"/>
              </w:rPr>
            </w:pPr>
          </w:p>
        </w:tc>
        <w:tc>
          <w:tcPr>
            <w:tcW w:w="2087" w:type="dxa"/>
            <w:vMerge w:val="continue"/>
            <w:vAlign w:val="top"/>
          </w:tcPr>
          <w:p w14:paraId="38C4C2C0">
            <w:pPr>
              <w:pStyle w:val="21"/>
              <w:spacing w:before="75" w:line="227" w:lineRule="auto"/>
              <w:ind w:left="191" w:leftChars="0"/>
              <w:rPr>
                <w:rFonts w:hint="eastAsia" w:ascii="仿宋" w:hAnsi="仿宋" w:eastAsia="仿宋" w:cs="仿宋"/>
                <w:color w:val="auto"/>
                <w:spacing w:val="6"/>
                <w:sz w:val="24"/>
                <w:szCs w:val="24"/>
                <w:highlight w:val="none"/>
              </w:rPr>
            </w:pPr>
          </w:p>
        </w:tc>
        <w:tc>
          <w:tcPr>
            <w:tcW w:w="7261" w:type="dxa"/>
            <w:tcBorders>
              <w:right w:val="single" w:color="000000" w:sz="6" w:space="0"/>
            </w:tcBorders>
            <w:vAlign w:val="top"/>
          </w:tcPr>
          <w:p w14:paraId="27BE1790">
            <w:pPr>
              <w:pStyle w:val="21"/>
              <w:spacing w:before="185" w:line="348" w:lineRule="auto"/>
              <w:ind w:left="114" w:right="106" w:firstLine="24"/>
              <w:jc w:val="both"/>
              <w:rPr>
                <w:rFonts w:hint="eastAsia" w:ascii="仿宋" w:hAnsi="仿宋" w:eastAsia="仿宋" w:cs="仿宋"/>
                <w:color w:val="auto"/>
                <w:spacing w:val="8"/>
                <w:sz w:val="24"/>
                <w:szCs w:val="24"/>
                <w:highlight w:val="none"/>
              </w:rPr>
            </w:pPr>
            <w:r>
              <w:rPr>
                <w:rFonts w:hint="eastAsia" w:ascii="仿宋" w:hAnsi="仿宋" w:eastAsia="仿宋" w:cs="仿宋"/>
                <w:color w:val="auto"/>
                <w:spacing w:val="10"/>
                <w:highlight w:val="none"/>
              </w:rPr>
              <w:t>（3）根据财政部、民政部、中国残疾人联合会《关于促进残</w:t>
            </w:r>
            <w:r>
              <w:rPr>
                <w:rFonts w:hint="eastAsia" w:ascii="仿宋" w:hAnsi="仿宋" w:eastAsia="仿宋" w:cs="仿宋"/>
                <w:color w:val="auto"/>
                <w:spacing w:val="8"/>
                <w:highlight w:val="none"/>
              </w:rPr>
              <w:t>疾人就业政府采购政策的通知》（财库[2017]141号</w:t>
            </w:r>
            <w:r>
              <w:rPr>
                <w:rFonts w:hint="eastAsia" w:ascii="仿宋" w:hAnsi="仿宋" w:eastAsia="仿宋" w:cs="仿宋"/>
                <w:color w:val="auto"/>
                <w:spacing w:val="5"/>
                <w:highlight w:val="none"/>
              </w:rPr>
              <w:t>）</w:t>
            </w:r>
            <w:r>
              <w:rPr>
                <w:rFonts w:hint="eastAsia" w:ascii="仿宋" w:hAnsi="仿宋" w:eastAsia="仿宋" w:cs="仿宋"/>
                <w:color w:val="auto"/>
                <w:spacing w:val="-61"/>
                <w:highlight w:val="none"/>
              </w:rPr>
              <w:t xml:space="preserve"> </w:t>
            </w:r>
            <w:r>
              <w:rPr>
                <w:rFonts w:hint="eastAsia" w:ascii="仿宋" w:hAnsi="仿宋" w:eastAsia="仿宋" w:cs="仿宋"/>
                <w:color w:val="auto"/>
                <w:spacing w:val="5"/>
                <w:highlight w:val="none"/>
              </w:rPr>
              <w:t>，</w:t>
            </w:r>
            <w:r>
              <w:rPr>
                <w:rFonts w:hint="eastAsia" w:ascii="仿宋" w:hAnsi="仿宋" w:eastAsia="仿宋" w:cs="仿宋"/>
                <w:color w:val="auto"/>
                <w:spacing w:val="8"/>
                <w:highlight w:val="none"/>
              </w:rPr>
              <w:t>在政</w:t>
            </w:r>
            <w:r>
              <w:rPr>
                <w:rFonts w:hint="eastAsia" w:ascii="仿宋" w:hAnsi="仿宋" w:eastAsia="仿宋" w:cs="仿宋"/>
                <w:color w:val="auto"/>
                <w:spacing w:val="7"/>
                <w:highlight w:val="none"/>
              </w:rPr>
              <w:t>府采购活动中，残疾人福利性单位视同小型</w:t>
            </w:r>
            <w:r>
              <w:rPr>
                <w:rFonts w:hint="eastAsia" w:ascii="仿宋" w:hAnsi="仿宋" w:eastAsia="仿宋" w:cs="仿宋"/>
                <w:color w:val="auto"/>
                <w:spacing w:val="6"/>
                <w:highlight w:val="none"/>
              </w:rPr>
              <w:t>、微型企业。投标</w:t>
            </w:r>
            <w:r>
              <w:rPr>
                <w:rFonts w:hint="eastAsia" w:ascii="仿宋" w:hAnsi="仿宋" w:eastAsia="仿宋" w:cs="仿宋"/>
                <w:color w:val="auto"/>
                <w:spacing w:val="7"/>
                <w:highlight w:val="none"/>
              </w:rPr>
              <w:t>人属于残疾人福利性单位的，按照招标文件</w:t>
            </w:r>
            <w:r>
              <w:rPr>
                <w:rFonts w:hint="eastAsia" w:ascii="仿宋" w:hAnsi="仿宋" w:eastAsia="仿宋" w:cs="仿宋"/>
                <w:color w:val="auto"/>
                <w:spacing w:val="6"/>
                <w:highlight w:val="none"/>
              </w:rPr>
              <w:t>格式提供残疾人福</w:t>
            </w:r>
            <w:r>
              <w:rPr>
                <w:rFonts w:hint="eastAsia" w:ascii="仿宋" w:hAnsi="仿宋" w:eastAsia="仿宋" w:cs="仿宋"/>
                <w:color w:val="auto"/>
                <w:spacing w:val="5"/>
                <w:highlight w:val="none"/>
              </w:rPr>
              <w:t>利性单位声明函。</w:t>
            </w:r>
          </w:p>
        </w:tc>
      </w:tr>
      <w:tr w14:paraId="2E2AF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893" w:type="dxa"/>
            <w:tcBorders>
              <w:top w:val="single" w:color="000000" w:sz="2" w:space="0"/>
              <w:left w:val="single" w:color="000000" w:sz="6" w:space="0"/>
              <w:bottom w:val="single" w:color="000000" w:sz="2" w:space="0"/>
            </w:tcBorders>
            <w:vAlign w:val="center"/>
          </w:tcPr>
          <w:p w14:paraId="1C89DB51">
            <w:pPr>
              <w:pStyle w:val="21"/>
              <w:spacing w:before="75" w:line="189" w:lineRule="auto"/>
              <w:jc w:val="center"/>
              <w:rPr>
                <w:rFonts w:hint="default"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30</w:t>
            </w:r>
          </w:p>
        </w:tc>
        <w:tc>
          <w:tcPr>
            <w:tcW w:w="2087" w:type="dxa"/>
            <w:vAlign w:val="center"/>
          </w:tcPr>
          <w:p w14:paraId="246CB532">
            <w:pPr>
              <w:pStyle w:val="21"/>
              <w:spacing w:before="75" w:line="484" w:lineRule="exact"/>
              <w:jc w:val="center"/>
              <w:rPr>
                <w:rFonts w:hint="eastAsia" w:ascii="仿宋" w:hAnsi="仿宋" w:eastAsia="仿宋" w:cs="仿宋"/>
                <w:b/>
                <w:bCs/>
                <w:color w:val="auto"/>
                <w:highlight w:val="none"/>
              </w:rPr>
            </w:pPr>
            <w:r>
              <w:rPr>
                <w:rFonts w:hint="eastAsia" w:ascii="仿宋" w:hAnsi="仿宋" w:eastAsia="仿宋" w:cs="仿宋"/>
                <w:b/>
                <w:bCs/>
                <w:color w:val="auto"/>
                <w:position w:val="18"/>
                <w:highlight w:val="none"/>
              </w:rPr>
              <w:t>中小微企业政策</w:t>
            </w:r>
          </w:p>
          <w:p w14:paraId="7D02DB05">
            <w:pPr>
              <w:pStyle w:val="21"/>
              <w:spacing w:before="75" w:line="227" w:lineRule="auto"/>
              <w:ind w:left="191" w:leftChars="0"/>
              <w:jc w:val="center"/>
              <w:rPr>
                <w:rFonts w:hint="eastAsia" w:ascii="仿宋" w:hAnsi="仿宋" w:eastAsia="仿宋" w:cs="仿宋"/>
                <w:b/>
                <w:bCs/>
                <w:color w:val="auto"/>
                <w:spacing w:val="6"/>
                <w:sz w:val="24"/>
                <w:szCs w:val="24"/>
                <w:highlight w:val="none"/>
              </w:rPr>
            </w:pPr>
            <w:r>
              <w:rPr>
                <w:rFonts w:hint="eastAsia" w:ascii="仿宋" w:hAnsi="仿宋" w:eastAsia="仿宋" w:cs="仿宋"/>
                <w:b/>
                <w:bCs/>
                <w:color w:val="auto"/>
                <w:spacing w:val="4"/>
                <w:highlight w:val="none"/>
              </w:rPr>
              <w:t>文件说明</w:t>
            </w:r>
          </w:p>
        </w:tc>
        <w:tc>
          <w:tcPr>
            <w:tcW w:w="7261" w:type="dxa"/>
            <w:tcBorders>
              <w:right w:val="single" w:color="000000" w:sz="6" w:space="0"/>
            </w:tcBorders>
            <w:vAlign w:val="top"/>
          </w:tcPr>
          <w:p w14:paraId="56481E78">
            <w:pPr>
              <w:pStyle w:val="21"/>
              <w:spacing w:before="185" w:line="349" w:lineRule="auto"/>
              <w:ind w:left="114" w:right="103" w:firstLine="24"/>
              <w:jc w:val="both"/>
              <w:rPr>
                <w:rFonts w:hint="eastAsia" w:ascii="仿宋" w:hAnsi="仿宋" w:eastAsia="仿宋" w:cs="仿宋"/>
                <w:color w:val="auto"/>
                <w:spacing w:val="1"/>
                <w:highlight w:val="none"/>
                <w:lang w:val="en-US" w:eastAsia="zh-CN"/>
              </w:rPr>
            </w:pPr>
            <w:r>
              <w:rPr>
                <w:rFonts w:hint="eastAsia" w:ascii="仿宋" w:hAnsi="仿宋" w:eastAsia="仿宋" w:cs="仿宋"/>
                <w:color w:val="auto"/>
                <w:spacing w:val="1"/>
                <w:highlight w:val="none"/>
                <w:lang w:val="en-US" w:eastAsia="zh-CN"/>
              </w:rPr>
              <w:t>1.本项目为专门面向中小企业项目，资金为全部预留。</w:t>
            </w:r>
          </w:p>
          <w:p w14:paraId="342FEAE0">
            <w:pPr>
              <w:pStyle w:val="21"/>
              <w:spacing w:before="185" w:line="349" w:lineRule="auto"/>
              <w:ind w:left="114" w:right="103" w:firstLine="24"/>
              <w:jc w:val="both"/>
              <w:rPr>
                <w:rFonts w:hint="eastAsia" w:ascii="仿宋" w:hAnsi="仿宋" w:eastAsia="仿宋" w:cs="仿宋"/>
                <w:color w:val="auto"/>
                <w:spacing w:val="1"/>
                <w:highlight w:val="none"/>
                <w:lang w:val="en-US" w:eastAsia="zh-CN"/>
              </w:rPr>
            </w:pPr>
            <w:r>
              <w:rPr>
                <w:rFonts w:hint="eastAsia" w:ascii="仿宋" w:hAnsi="仿宋" w:eastAsia="仿宋" w:cs="仿宋"/>
                <w:color w:val="auto"/>
                <w:spacing w:val="1"/>
                <w:highlight w:val="none"/>
                <w:lang w:val="en-US" w:eastAsia="zh-CN"/>
              </w:rPr>
              <w:t>2.本采购项目中小企业划分标准所属行业为：</w:t>
            </w:r>
            <w:r>
              <w:rPr>
                <w:rFonts w:hint="eastAsia" w:ascii="仿宋" w:hAnsi="仿宋" w:eastAsia="仿宋" w:cs="仿宋"/>
                <w:b/>
                <w:bCs/>
                <w:color w:val="auto"/>
                <w:spacing w:val="1"/>
                <w:highlight w:val="none"/>
                <w:u w:val="single"/>
                <w:lang w:val="en-US" w:eastAsia="zh-CN"/>
              </w:rPr>
              <w:t>其他未列明行业。</w:t>
            </w:r>
          </w:p>
          <w:p w14:paraId="5CCEABF7">
            <w:pPr>
              <w:pStyle w:val="21"/>
              <w:spacing w:before="185" w:line="349" w:lineRule="auto"/>
              <w:ind w:left="114" w:right="103" w:firstLine="24"/>
              <w:jc w:val="both"/>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color w:val="auto"/>
                <w:spacing w:val="1"/>
                <w:highlight w:val="none"/>
                <w:lang w:val="en-US" w:eastAsia="zh-CN"/>
              </w:rPr>
              <w:t>一、根据《中华人民共和国中小企业促进法》和《国务院关于进一步促进中小企业发展的若干意见》(国发〔2009〕36号)，制定本规定。</w:t>
            </w:r>
            <w:r>
              <w:rPr>
                <w:rFonts w:hint="eastAsia" w:ascii="仿宋" w:hAnsi="仿宋" w:eastAsia="仿宋" w:cs="仿宋"/>
                <w:snapToGrid w:val="0"/>
                <w:color w:val="auto"/>
                <w:spacing w:val="10"/>
                <w:kern w:val="0"/>
                <w:sz w:val="23"/>
                <w:szCs w:val="23"/>
                <w:highlight w:val="none"/>
                <w:lang w:val="en-US" w:eastAsia="zh-CN" w:bidi="ar-SA"/>
              </w:rPr>
              <w:t>二、中小企业划分为中型、小型、微型三种类型，具体标准根据企业从业人员、营业收入、资产总额等指标，结合行业特点制定。</w:t>
            </w:r>
          </w:p>
          <w:p w14:paraId="3F1D96EA">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27CCE53">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四、各行业划型标准为：</w:t>
            </w:r>
          </w:p>
          <w:p w14:paraId="2A58D25F">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（一）农、林、牧、渔业。营业收入20000万元以下的为中小微型企业。其中，营业收入500万元及以上的为中型企业，营业收入50万元及以上的为小型企业，营业收入50万元以下的为微型企业。</w:t>
            </w:r>
          </w:p>
          <w:p w14:paraId="4689CE55">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5F00D0B">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0D50792">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6A5E13F">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6626B43">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12F25C9">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904A48">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8F2F960">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D5DAF67">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D4B66D0">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1CF0D89">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B81485F">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EE88EE3">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667F279">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493A37A">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（十六）其他未列明行业。从业人员300人以下的为中小微型企业。其中，从业人员100人及以上的为中型企业；从业人员10人及以上的为小型企业；从业人员10人以下的为微型企业。</w:t>
            </w:r>
          </w:p>
          <w:p w14:paraId="5D9E98E2">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五、企业类型的划分以统计部门的统计数据为依据。</w:t>
            </w:r>
          </w:p>
          <w:p w14:paraId="5802F684">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六、本规定适用于在中华人民共和国境内依法设立的各类所有制和各种组织形式的企业。个体工商户和本规定以外的行业，参照本规定进行划型。</w:t>
            </w:r>
          </w:p>
          <w:p w14:paraId="03F5FEDA">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七、本规定的中型企业标准上限即为大型企业标准的下限，国家统计部门据此制定大中小微型企业的统计分类。国务院有关部门据此进行相关数据分析，不得制定与本规定不一致的企业划型标准。</w:t>
            </w:r>
          </w:p>
          <w:p w14:paraId="403F8DF2">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八、本规定由工业和信息化部、国家统计局会同有关部门根据《国民经济行业分类》修订情况和企业发展变化情况适时修订。</w:t>
            </w:r>
          </w:p>
          <w:p w14:paraId="36F77576">
            <w:pPr>
              <w:pStyle w:val="30"/>
              <w:ind w:left="0" w:firstLine="0" w:firstLineChars="0"/>
              <w:rPr>
                <w:rFonts w:hint="eastAsia" w:ascii="仿宋" w:hAnsi="仿宋" w:eastAsia="仿宋" w:cs="仿宋"/>
                <w:snapToGrid w:val="0"/>
                <w:color w:val="auto"/>
                <w:spacing w:val="10"/>
                <w:kern w:val="0"/>
                <w:sz w:val="23"/>
                <w:szCs w:val="23"/>
                <w:highlight w:val="none"/>
                <w:lang w:val="en-US" w:eastAsia="zh-CN" w:bidi="ar-SA"/>
              </w:rPr>
            </w:pPr>
            <w:r>
              <w:rPr>
                <w:rFonts w:hint="eastAsia" w:ascii="仿宋" w:hAnsi="仿宋" w:eastAsia="仿宋" w:cs="仿宋"/>
                <w:snapToGrid w:val="0"/>
                <w:color w:val="auto"/>
                <w:spacing w:val="10"/>
                <w:kern w:val="0"/>
                <w:sz w:val="23"/>
                <w:szCs w:val="23"/>
                <w:highlight w:val="none"/>
                <w:lang w:val="en-US" w:eastAsia="zh-CN" w:bidi="ar-SA"/>
              </w:rPr>
              <w:t>九、本规定由工业和信息化部、国家统计局会同有关部门负责解释。</w:t>
            </w:r>
          </w:p>
          <w:p w14:paraId="2D799E7B">
            <w:pPr>
              <w:pStyle w:val="21"/>
              <w:spacing w:before="185" w:line="348" w:lineRule="auto"/>
              <w:ind w:right="106"/>
              <w:jc w:val="both"/>
              <w:rPr>
                <w:rFonts w:hint="default" w:ascii="仿宋" w:hAnsi="仿宋" w:eastAsia="仿宋" w:cs="仿宋"/>
                <w:b/>
                <w:bCs/>
                <w:color w:val="auto"/>
                <w:spacing w:val="10"/>
                <w:highlight w:val="none"/>
                <w:lang w:val="en-US" w:eastAsia="zh-CN"/>
              </w:rPr>
            </w:pPr>
            <w:r>
              <w:rPr>
                <w:rFonts w:hint="eastAsia" w:ascii="仿宋" w:hAnsi="仿宋" w:eastAsia="仿宋" w:cs="仿宋"/>
                <w:snapToGrid w:val="0"/>
                <w:color w:val="auto"/>
                <w:spacing w:val="10"/>
                <w:kern w:val="0"/>
                <w:sz w:val="23"/>
                <w:szCs w:val="23"/>
                <w:highlight w:val="none"/>
                <w:lang w:val="en-US" w:eastAsia="zh-CN" w:bidi="ar-SA"/>
              </w:rPr>
              <w:t>十、本规定自发布之日起执行，原国家经贸委、原国家计委、财政部和国家统计局2003年颁布的《中小企业标准暂行规定》同时废止</w:t>
            </w:r>
          </w:p>
        </w:tc>
      </w:tr>
      <w:tr w14:paraId="1D648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893" w:type="dxa"/>
            <w:tcBorders>
              <w:top w:val="single" w:color="000000" w:sz="2" w:space="0"/>
              <w:left w:val="single" w:color="000000" w:sz="6" w:space="0"/>
              <w:bottom w:val="single" w:color="000000" w:sz="2" w:space="0"/>
            </w:tcBorders>
            <w:vAlign w:val="center"/>
          </w:tcPr>
          <w:p w14:paraId="3A748F56">
            <w:pPr>
              <w:pStyle w:val="21"/>
              <w:spacing w:before="75" w:line="189" w:lineRule="auto"/>
              <w:jc w:val="center"/>
              <w:rPr>
                <w:rFonts w:hint="default"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31</w:t>
            </w:r>
          </w:p>
        </w:tc>
        <w:tc>
          <w:tcPr>
            <w:tcW w:w="2087" w:type="dxa"/>
            <w:vAlign w:val="center"/>
          </w:tcPr>
          <w:p w14:paraId="39F00E7E">
            <w:pPr>
              <w:pStyle w:val="21"/>
              <w:spacing w:before="75" w:line="189" w:lineRule="auto"/>
              <w:jc w:val="center"/>
              <w:rPr>
                <w:rFonts w:hint="eastAsia" w:ascii="仿宋" w:hAnsi="仿宋" w:eastAsia="仿宋" w:cs="仿宋"/>
                <w:color w:val="auto"/>
                <w:spacing w:val="-3"/>
                <w:sz w:val="24"/>
                <w:szCs w:val="24"/>
                <w:highlight w:val="none"/>
                <w:lang w:val="en-US" w:eastAsia="zh-CN"/>
              </w:rPr>
            </w:pPr>
            <w:r>
              <w:rPr>
                <w:rFonts w:hint="eastAsia" w:ascii="仿宋" w:hAnsi="仿宋" w:eastAsia="仿宋" w:cs="仿宋"/>
                <w:color w:val="auto"/>
                <w:spacing w:val="-3"/>
                <w:sz w:val="24"/>
                <w:szCs w:val="24"/>
                <w:highlight w:val="none"/>
                <w:lang w:val="en-US" w:eastAsia="zh-CN"/>
              </w:rPr>
              <w:t>备注</w:t>
            </w:r>
          </w:p>
        </w:tc>
        <w:tc>
          <w:tcPr>
            <w:tcW w:w="7261" w:type="dxa"/>
            <w:tcBorders>
              <w:right w:val="single" w:color="000000" w:sz="6" w:space="0"/>
            </w:tcBorders>
            <w:vAlign w:val="top"/>
          </w:tcPr>
          <w:p w14:paraId="6129C39D">
            <w:pPr>
              <w:pStyle w:val="21"/>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 xml:space="preserve">1、着重提醒各投标人注意，并认真查看招标文件中的每一个条款及要求，因误读招标文件而造成的后果，招标人概不负责。 </w:t>
            </w:r>
          </w:p>
          <w:p w14:paraId="04048759">
            <w:pPr>
              <w:pStyle w:val="21"/>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2、投标人使用相同IP地址的，一经发现，相关部门将进一步核实，查实后按串通投标处理。</w:t>
            </w:r>
          </w:p>
          <w:p w14:paraId="04E234C3">
            <w:pPr>
              <w:pStyle w:val="21"/>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3、为保证本项目质量，良好的售后服务，最低报价不作为中标的唯一依据。</w:t>
            </w:r>
          </w:p>
          <w:p w14:paraId="479FBF7A">
            <w:pPr>
              <w:pStyle w:val="21"/>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 xml:space="preserve">4、投标人须承诺班组成员须常驻现场，否则项目做废标处理。 </w:t>
            </w:r>
          </w:p>
          <w:p w14:paraId="42EEC14D">
            <w:pPr>
              <w:pStyle w:val="21"/>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5、采购人若发现</w:t>
            </w:r>
            <w:r>
              <w:rPr>
                <w:rFonts w:hint="eastAsia" w:ascii="仿宋" w:hAnsi="仿宋" w:eastAsia="仿宋" w:cs="仿宋"/>
                <w:color w:val="auto"/>
                <w:spacing w:val="5"/>
                <w:highlight w:val="none"/>
                <w:lang w:val="en-US" w:eastAsia="zh-CN"/>
              </w:rPr>
              <w:t>中标</w:t>
            </w:r>
            <w:r>
              <w:rPr>
                <w:rFonts w:hint="eastAsia" w:ascii="仿宋" w:hAnsi="仿宋" w:eastAsia="仿宋" w:cs="仿宋"/>
                <w:color w:val="auto"/>
                <w:spacing w:val="5"/>
                <w:highlight w:val="none"/>
              </w:rPr>
              <w:t>候选供应商在投标过程中提供虚假证明文件，故意隐瞒公司不良信誉和财务状况，以及其他可能对合同圆满履行造成风险的因素等，则按规定取消其成交资格，监管部门依法进行处理。</w:t>
            </w:r>
          </w:p>
          <w:p w14:paraId="5F89D103">
            <w:pPr>
              <w:pStyle w:val="21"/>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lang w:val="en-US" w:eastAsia="zh-CN"/>
              </w:rPr>
              <w:t>6</w:t>
            </w:r>
            <w:r>
              <w:rPr>
                <w:rFonts w:hint="eastAsia" w:ascii="仿宋" w:hAnsi="仿宋" w:eastAsia="仿宋" w:cs="仿宋"/>
                <w:color w:val="auto"/>
                <w:spacing w:val="5"/>
                <w:highlight w:val="none"/>
              </w:rPr>
              <w:t>、其它：</w:t>
            </w:r>
          </w:p>
          <w:p w14:paraId="3CFAAC7E">
            <w:pPr>
              <w:pStyle w:val="21"/>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（1）投标企业严格遵守国家的法律法规及招标纪律，无违法违纪及商业贿赂行为。</w:t>
            </w:r>
          </w:p>
          <w:p w14:paraId="46F86D26">
            <w:pPr>
              <w:pStyle w:val="21"/>
              <w:spacing w:before="1" w:line="228" w:lineRule="auto"/>
              <w:ind w:left="125" w:leftChars="0"/>
              <w:rPr>
                <w:rFonts w:hint="eastAsia" w:ascii="仿宋" w:hAnsi="仿宋" w:eastAsia="仿宋" w:cs="仿宋"/>
                <w:color w:val="auto"/>
                <w:spacing w:val="5"/>
                <w:highlight w:val="none"/>
                <w:lang w:eastAsia="zh-CN"/>
              </w:rPr>
            </w:pPr>
            <w:r>
              <w:rPr>
                <w:rFonts w:hint="eastAsia" w:ascii="仿宋" w:hAnsi="仿宋" w:eastAsia="仿宋" w:cs="仿宋"/>
                <w:color w:val="auto"/>
                <w:spacing w:val="5"/>
                <w:highlight w:val="none"/>
              </w:rPr>
              <w:t>（2）不管投标结果如何，供应商均应自行承担投标所需一切费用</w:t>
            </w:r>
            <w:r>
              <w:rPr>
                <w:rFonts w:hint="eastAsia" w:ascii="仿宋" w:hAnsi="仿宋" w:eastAsia="仿宋" w:cs="仿宋"/>
                <w:color w:val="auto"/>
                <w:spacing w:val="5"/>
                <w:highlight w:val="none"/>
                <w:lang w:eastAsia="zh-CN"/>
              </w:rPr>
              <w:t>。</w:t>
            </w:r>
          </w:p>
          <w:p w14:paraId="623B14C0">
            <w:pPr>
              <w:pStyle w:val="21"/>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（3）供应商应以书面形式保证中标后由本公司组织实施，不得以任何理由将项目转包给其他机构。</w:t>
            </w:r>
          </w:p>
          <w:p w14:paraId="0076DA91">
            <w:pPr>
              <w:pStyle w:val="21"/>
              <w:spacing w:before="1" w:line="228" w:lineRule="auto"/>
              <w:ind w:left="125" w:leftChars="0"/>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（4）</w:t>
            </w:r>
            <w:r>
              <w:rPr>
                <w:rFonts w:hint="eastAsia" w:ascii="仿宋" w:hAnsi="仿宋" w:eastAsia="仿宋" w:cs="仿宋"/>
                <w:color w:val="auto"/>
                <w:spacing w:val="5"/>
                <w:highlight w:val="none"/>
                <w:lang w:val="en-US" w:eastAsia="zh-CN"/>
              </w:rPr>
              <w:t>征集</w:t>
            </w:r>
            <w:r>
              <w:rPr>
                <w:rFonts w:hint="eastAsia" w:ascii="仿宋" w:hAnsi="仿宋" w:eastAsia="仿宋" w:cs="仿宋"/>
                <w:color w:val="auto"/>
                <w:spacing w:val="5"/>
                <w:highlight w:val="none"/>
              </w:rPr>
              <w:t>文件中如出现前后不一致情况，均以前附表内容为准。</w:t>
            </w:r>
          </w:p>
        </w:tc>
      </w:tr>
    </w:tbl>
    <w:p w14:paraId="17FE6BF8">
      <w:pPr>
        <w:spacing w:before="13"/>
        <w:rPr>
          <w:rFonts w:hint="eastAsia" w:ascii="仿宋" w:hAnsi="仿宋" w:eastAsia="仿宋" w:cs="仿宋"/>
          <w:color w:val="auto"/>
          <w:sz w:val="24"/>
          <w:szCs w:val="24"/>
          <w:highlight w:val="none"/>
        </w:rPr>
      </w:pPr>
    </w:p>
    <w:p w14:paraId="52000941">
      <w:pPr>
        <w:pStyle w:val="4"/>
        <w:spacing w:before="124" w:line="292" w:lineRule="exact"/>
        <w:jc w:val="center"/>
        <w:rPr>
          <w:rFonts w:hint="eastAsia" w:ascii="仿宋" w:hAnsi="仿宋" w:eastAsia="仿宋" w:cs="仿宋"/>
          <w:snapToGrid w:val="0"/>
          <w:color w:val="auto"/>
          <w:spacing w:val="-9"/>
          <w:kern w:val="0"/>
          <w:sz w:val="36"/>
          <w:szCs w:val="36"/>
          <w:highlight w:val="none"/>
          <w:lang w:val="en-US" w:eastAsia="en-US" w:bidi="ar-SA"/>
          <w14:textOutline w14:w="5103" w14:cap="sq" w14:cmpd="sng">
            <w14:solidFill>
              <w14:srgbClr w14:val="000000"/>
            </w14:solidFill>
            <w14:prstDash w14:val="solid"/>
            <w14:bevel/>
          </w14:textOutline>
        </w:rPr>
      </w:pPr>
      <w:r>
        <w:rPr>
          <w:rFonts w:hint="eastAsia" w:ascii="仿宋" w:hAnsi="仿宋" w:eastAsia="仿宋" w:cs="仿宋"/>
          <w:snapToGrid w:val="0"/>
          <w:color w:val="auto"/>
          <w:spacing w:val="-9"/>
          <w:kern w:val="0"/>
          <w:sz w:val="36"/>
          <w:szCs w:val="36"/>
          <w:highlight w:val="none"/>
          <w:lang w:val="en-US" w:eastAsia="zh-CN" w:bidi="ar-SA"/>
          <w14:textOutline w14:w="5103" w14:cap="sq" w14:cmpd="sng">
            <w14:solidFill>
              <w14:srgbClr w14:val="000000"/>
            </w14:solidFill>
            <w14:prstDash w14:val="solid"/>
            <w14:bevel/>
          </w14:textOutline>
        </w:rPr>
        <w:t>一</w:t>
      </w:r>
      <w:r>
        <w:rPr>
          <w:rFonts w:hint="eastAsia" w:ascii="仿宋" w:hAnsi="仿宋" w:eastAsia="仿宋" w:cs="仿宋"/>
          <w:snapToGrid w:val="0"/>
          <w:color w:val="auto"/>
          <w:spacing w:val="-9"/>
          <w:kern w:val="0"/>
          <w:sz w:val="36"/>
          <w:szCs w:val="36"/>
          <w:highlight w:val="none"/>
          <w:lang w:val="en-US" w:eastAsia="en-US" w:bidi="ar-SA"/>
          <w14:textOutline w14:w="5103" w14:cap="sq" w14:cmpd="sng">
            <w14:solidFill>
              <w14:srgbClr w14:val="000000"/>
            </w14:solidFill>
            <w14:prstDash w14:val="solid"/>
            <w14:bevel/>
          </w14:textOutline>
        </w:rPr>
        <w:t xml:space="preserve">  总  则</w:t>
      </w:r>
    </w:p>
    <w:p w14:paraId="1C8468C2">
      <w:pPr>
        <w:rPr>
          <w:rFonts w:hint="eastAsia"/>
          <w:color w:val="auto"/>
          <w:highlight w:val="none"/>
          <w:lang w:val="en-US" w:eastAsia="en-US"/>
        </w:rPr>
      </w:pPr>
    </w:p>
    <w:p w14:paraId="08AB33BB">
      <w:pPr>
        <w:keepNext w:val="0"/>
        <w:keepLines w:val="0"/>
        <w:pageBreakBefore w:val="0"/>
        <w:widowControl/>
        <w:kinsoku w:val="0"/>
        <w:wordWrap/>
        <w:overflowPunct/>
        <w:topLinePunct w:val="0"/>
        <w:autoSpaceDE w:val="0"/>
        <w:autoSpaceDN w:val="0"/>
        <w:bidi w:val="0"/>
        <w:adjustRightInd w:val="0"/>
        <w:snapToGrid w:val="0"/>
        <w:spacing w:before="45" w:line="360" w:lineRule="auto"/>
        <w:ind w:right="38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1.1采购人：是指依法进行政府采购的国家机关、事业单位、团体组织。本项目的适用采购</w:t>
      </w:r>
      <w:r>
        <w:rPr>
          <w:rFonts w:hint="eastAsia" w:ascii="仿宋" w:hAnsi="仿宋" w:eastAsia="仿宋" w:cs="仿宋"/>
          <w:color w:val="auto"/>
          <w:spacing w:val="-2"/>
          <w:sz w:val="24"/>
          <w:szCs w:val="24"/>
          <w:highlight w:val="none"/>
        </w:rPr>
        <w:t>人或者服务对象范围见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2"/>
          <w:sz w:val="24"/>
          <w:szCs w:val="24"/>
          <w:highlight w:val="none"/>
        </w:rPr>
        <w:t>。</w:t>
      </w:r>
    </w:p>
    <w:p w14:paraId="2F0DF8F5">
      <w:pPr>
        <w:keepNext w:val="0"/>
        <w:keepLines w:val="0"/>
        <w:pageBreakBefore w:val="0"/>
        <w:widowControl/>
        <w:kinsoku w:val="0"/>
        <w:wordWrap/>
        <w:overflowPunct/>
        <w:topLinePunct w:val="0"/>
        <w:autoSpaceDE w:val="0"/>
        <w:autoSpaceDN w:val="0"/>
        <w:bidi w:val="0"/>
        <w:adjustRightInd w:val="0"/>
        <w:snapToGrid w:val="0"/>
        <w:spacing w:before="26" w:line="360" w:lineRule="auto"/>
        <w:ind w:right="38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1.2征集人：是指主管预算单位及其委托的采购代理机构。本项目的征集人见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6"/>
          <w:sz w:val="24"/>
          <w:szCs w:val="24"/>
          <w:highlight w:val="none"/>
        </w:rPr>
        <w:t>。</w:t>
      </w:r>
    </w:p>
    <w:p w14:paraId="0479BDED">
      <w:pPr>
        <w:keepNext w:val="0"/>
        <w:keepLines w:val="0"/>
        <w:pageBreakBefore w:val="0"/>
        <w:widowControl/>
        <w:kinsoku w:val="0"/>
        <w:wordWrap/>
        <w:overflowPunct/>
        <w:topLinePunct w:val="0"/>
        <w:autoSpaceDE w:val="0"/>
        <w:autoSpaceDN w:val="0"/>
        <w:bidi w:val="0"/>
        <w:adjustRightInd w:val="0"/>
        <w:snapToGrid w:val="0"/>
        <w:spacing w:before="26" w:line="360" w:lineRule="auto"/>
        <w:ind w:right="38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1.3供应商：是指响应征集、参加框架协议采购竞争的法人、非法人组织或者自然人。本项</w:t>
      </w:r>
      <w:r>
        <w:rPr>
          <w:rFonts w:hint="eastAsia" w:ascii="仿宋" w:hAnsi="仿宋" w:eastAsia="仿宋" w:cs="仿宋"/>
          <w:color w:val="auto"/>
          <w:spacing w:val="-5"/>
          <w:sz w:val="24"/>
          <w:szCs w:val="24"/>
          <w:highlight w:val="none"/>
        </w:rPr>
        <w:t>目的供应商须满足以下条件：</w:t>
      </w:r>
    </w:p>
    <w:p w14:paraId="6D5DFB38">
      <w:pPr>
        <w:keepNext w:val="0"/>
        <w:keepLines w:val="0"/>
        <w:pageBreakBefore w:val="0"/>
        <w:widowControl/>
        <w:kinsoku w:val="0"/>
        <w:wordWrap/>
        <w:overflowPunct/>
        <w:topLinePunct w:val="0"/>
        <w:autoSpaceDE w:val="0"/>
        <w:autoSpaceDN w:val="0"/>
        <w:bidi w:val="0"/>
        <w:adjustRightInd w:val="0"/>
        <w:snapToGrid w:val="0"/>
        <w:spacing w:before="21" w:line="360" w:lineRule="auto"/>
        <w:ind w:right="2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1.3.1在中华人民共和国境内注册，能够独立承担民事责任，有生产或供应能力的本国供</w:t>
      </w:r>
      <w:r>
        <w:rPr>
          <w:rFonts w:hint="eastAsia" w:ascii="仿宋" w:hAnsi="仿宋" w:eastAsia="仿宋" w:cs="仿宋"/>
          <w:color w:val="auto"/>
          <w:spacing w:val="-6"/>
          <w:sz w:val="24"/>
          <w:szCs w:val="24"/>
          <w:highlight w:val="none"/>
        </w:rPr>
        <w:t>应商。</w:t>
      </w:r>
    </w:p>
    <w:p w14:paraId="07C7F48E">
      <w:pPr>
        <w:keepNext w:val="0"/>
        <w:keepLines w:val="0"/>
        <w:pageBreakBefore w:val="0"/>
        <w:widowControl/>
        <w:kinsoku w:val="0"/>
        <w:wordWrap/>
        <w:overflowPunct/>
        <w:topLinePunct w:val="0"/>
        <w:autoSpaceDE w:val="0"/>
        <w:autoSpaceDN w:val="0"/>
        <w:bidi w:val="0"/>
        <w:adjustRightInd w:val="0"/>
        <w:snapToGrid w:val="0"/>
        <w:spacing w:before="19" w:line="360" w:lineRule="auto"/>
        <w:ind w:right="2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1.3.2具备《中华人民共和国政府采购法》第二十二条关于供应商条件的规定，遵守本项</w:t>
      </w:r>
      <w:r>
        <w:rPr>
          <w:rFonts w:hint="eastAsia" w:ascii="仿宋" w:hAnsi="仿宋" w:eastAsia="仿宋" w:cs="仿宋"/>
          <w:color w:val="auto"/>
          <w:spacing w:val="-3"/>
          <w:sz w:val="24"/>
          <w:szCs w:val="24"/>
          <w:highlight w:val="none"/>
        </w:rPr>
        <w:t>目采购人本级和上级财政部门政府采购的有关规定。</w:t>
      </w:r>
    </w:p>
    <w:p w14:paraId="50CEF09A">
      <w:pPr>
        <w:keepNext w:val="0"/>
        <w:keepLines w:val="0"/>
        <w:pageBreakBefore w:val="0"/>
        <w:widowControl/>
        <w:kinsoku w:val="0"/>
        <w:wordWrap/>
        <w:overflowPunct/>
        <w:topLinePunct w:val="0"/>
        <w:autoSpaceDE w:val="0"/>
        <w:autoSpaceDN w:val="0"/>
        <w:bidi w:val="0"/>
        <w:adjustRightInd w:val="0"/>
        <w:snapToGrid w:val="0"/>
        <w:spacing w:before="21"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1.3.3以征集文件规定的方式获得了本项目的征集文件。</w:t>
      </w:r>
    </w:p>
    <w:p w14:paraId="39F41A47">
      <w:pPr>
        <w:keepNext w:val="0"/>
        <w:keepLines w:val="0"/>
        <w:pageBreakBefore w:val="0"/>
        <w:widowControl/>
        <w:kinsoku w:val="0"/>
        <w:wordWrap/>
        <w:overflowPunct/>
        <w:topLinePunct w:val="0"/>
        <w:autoSpaceDE w:val="0"/>
        <w:autoSpaceDN w:val="0"/>
        <w:bidi w:val="0"/>
        <w:adjustRightInd w:val="0"/>
        <w:snapToGrid w:val="0"/>
        <w:spacing w:before="25"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1.3.4符合</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中规定的合格供应商的其他资格要求。</w:t>
      </w:r>
    </w:p>
    <w:p w14:paraId="5927681A">
      <w:pPr>
        <w:keepNext w:val="0"/>
        <w:keepLines w:val="0"/>
        <w:pageBreakBefore w:val="0"/>
        <w:widowControl/>
        <w:kinsoku w:val="0"/>
        <w:wordWrap/>
        <w:overflowPunct/>
        <w:topLinePunct w:val="0"/>
        <w:autoSpaceDE w:val="0"/>
        <w:autoSpaceDN w:val="0"/>
        <w:bidi w:val="0"/>
        <w:adjustRightInd w:val="0"/>
        <w:snapToGrid w:val="0"/>
        <w:spacing w:before="26"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1.3.5若</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z w:val="24"/>
          <w:szCs w:val="24"/>
          <w:highlight w:val="none"/>
        </w:rPr>
        <w:t>中写明专门面向中小企业采购的，如供</w:t>
      </w:r>
      <w:r>
        <w:rPr>
          <w:rFonts w:hint="eastAsia" w:ascii="仿宋" w:hAnsi="仿宋" w:eastAsia="仿宋" w:cs="仿宋"/>
          <w:color w:val="auto"/>
          <w:spacing w:val="-1"/>
          <w:sz w:val="24"/>
          <w:szCs w:val="24"/>
          <w:highlight w:val="none"/>
        </w:rPr>
        <w:t>应商为非中小企业，其</w:t>
      </w:r>
    </w:p>
    <w:p w14:paraId="5F2DE8BB">
      <w:pPr>
        <w:keepNext w:val="0"/>
        <w:keepLines w:val="0"/>
        <w:pageBreakBefore w:val="0"/>
        <w:widowControl/>
        <w:kinsoku w:val="0"/>
        <w:wordWrap/>
        <w:overflowPunct/>
        <w:topLinePunct w:val="0"/>
        <w:autoSpaceDE w:val="0"/>
        <w:autoSpaceDN w:val="0"/>
        <w:bidi w:val="0"/>
        <w:adjustRightInd w:val="0"/>
        <w:snapToGrid w:val="0"/>
        <w:spacing w:before="26" w:line="360" w:lineRule="auto"/>
        <w:ind w:left="56" w:right="540" w:hanging="2"/>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响应文件将被认定为无效。</w:t>
      </w:r>
    </w:p>
    <w:p w14:paraId="2D43326B">
      <w:pPr>
        <w:keepNext w:val="0"/>
        <w:keepLines w:val="0"/>
        <w:pageBreakBefore w:val="0"/>
        <w:widowControl/>
        <w:kinsoku w:val="0"/>
        <w:wordWrap/>
        <w:overflowPunct/>
        <w:topLinePunct w:val="0"/>
        <w:autoSpaceDE w:val="0"/>
        <w:autoSpaceDN w:val="0"/>
        <w:bidi w:val="0"/>
        <w:adjustRightInd w:val="0"/>
        <w:snapToGrid w:val="0"/>
        <w:spacing w:before="26" w:line="360" w:lineRule="auto"/>
        <w:ind w:right="540"/>
        <w:textAlignment w:val="baseline"/>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rPr>
        <w:t>1.4</w:t>
      </w:r>
      <w:r>
        <w:rPr>
          <w:rFonts w:hint="eastAsia" w:ascii="仿宋" w:hAnsi="仿宋" w:eastAsia="仿宋" w:cs="仿宋"/>
          <w:color w:val="auto"/>
          <w:spacing w:val="-1"/>
          <w:sz w:val="24"/>
          <w:szCs w:val="24"/>
          <w:highlight w:val="none"/>
          <w:lang w:val="en-US" w:eastAsia="zh-CN"/>
        </w:rPr>
        <w:t>本项目</w:t>
      </w:r>
      <w:r>
        <w:rPr>
          <w:rFonts w:hint="eastAsia" w:ascii="仿宋" w:hAnsi="仿宋" w:eastAsia="仿宋" w:cs="仿宋"/>
          <w:b/>
          <w:bCs/>
          <w:color w:val="auto"/>
          <w:spacing w:val="-1"/>
          <w:sz w:val="24"/>
          <w:szCs w:val="24"/>
          <w:highlight w:val="none"/>
          <w:lang w:val="en-US" w:eastAsia="zh-CN"/>
        </w:rPr>
        <w:t>不</w:t>
      </w:r>
      <w:r>
        <w:rPr>
          <w:rFonts w:hint="eastAsia" w:ascii="仿宋" w:hAnsi="仿宋" w:eastAsia="仿宋" w:cs="仿宋"/>
          <w:b/>
          <w:bCs/>
          <w:color w:val="auto"/>
          <w:spacing w:val="-1"/>
          <w:sz w:val="24"/>
          <w:szCs w:val="24"/>
          <w:highlight w:val="none"/>
        </w:rPr>
        <w:t>允许</w:t>
      </w:r>
      <w:r>
        <w:rPr>
          <w:rFonts w:hint="eastAsia" w:ascii="仿宋" w:hAnsi="仿宋" w:eastAsia="仿宋" w:cs="仿宋"/>
          <w:color w:val="auto"/>
          <w:spacing w:val="-1"/>
          <w:sz w:val="24"/>
          <w:szCs w:val="24"/>
          <w:highlight w:val="none"/>
        </w:rPr>
        <w:t>联合体参与征集</w:t>
      </w:r>
      <w:r>
        <w:rPr>
          <w:rFonts w:hint="eastAsia" w:ascii="仿宋" w:hAnsi="仿宋" w:eastAsia="仿宋" w:cs="仿宋"/>
          <w:color w:val="auto"/>
          <w:spacing w:val="-1"/>
          <w:sz w:val="24"/>
          <w:szCs w:val="24"/>
          <w:highlight w:val="none"/>
          <w:lang w:eastAsia="zh-CN"/>
        </w:rPr>
        <w:t>。</w:t>
      </w:r>
    </w:p>
    <w:p w14:paraId="6E901E5E">
      <w:pPr>
        <w:keepNext w:val="0"/>
        <w:keepLines w:val="0"/>
        <w:pageBreakBefore w:val="0"/>
        <w:widowControl/>
        <w:kinsoku w:val="0"/>
        <w:wordWrap/>
        <w:overflowPunct/>
        <w:topLinePunct w:val="0"/>
        <w:autoSpaceDE w:val="0"/>
        <w:autoSpaceDN w:val="0"/>
        <w:bidi w:val="0"/>
        <w:adjustRightInd w:val="0"/>
        <w:snapToGrid w:val="0"/>
        <w:spacing w:before="26" w:line="360" w:lineRule="auto"/>
        <w:ind w:right="54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1"/>
          <w:sz w:val="24"/>
          <w:szCs w:val="24"/>
          <w:highlight w:val="none"/>
          <w:lang w:val="en-US" w:eastAsia="zh-CN"/>
        </w:rPr>
        <w:t>如有</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1"/>
          <w:sz w:val="24"/>
          <w:szCs w:val="24"/>
          <w:highlight w:val="none"/>
        </w:rPr>
        <w:t>对联合体规定如下：</w:t>
      </w:r>
    </w:p>
    <w:p w14:paraId="1EA70CFA">
      <w:pPr>
        <w:keepNext w:val="0"/>
        <w:keepLines w:val="0"/>
        <w:pageBreakBefore w:val="0"/>
        <w:widowControl/>
        <w:kinsoku w:val="0"/>
        <w:wordWrap/>
        <w:overflowPunct/>
        <w:topLinePunct w:val="0"/>
        <w:autoSpaceDE w:val="0"/>
        <w:autoSpaceDN w:val="0"/>
        <w:bidi w:val="0"/>
        <w:adjustRightInd w:val="0"/>
        <w:snapToGrid w:val="0"/>
        <w:spacing w:before="26" w:line="360" w:lineRule="auto"/>
        <w:ind w:right="2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1.4.1两个及以上供应商可以组成一个联合体，以一个供应商的身份参加征集响应。</w:t>
      </w:r>
    </w:p>
    <w:p w14:paraId="187E0064">
      <w:pPr>
        <w:keepNext w:val="0"/>
        <w:keepLines w:val="0"/>
        <w:pageBreakBefore w:val="0"/>
        <w:widowControl/>
        <w:kinsoku w:val="0"/>
        <w:wordWrap/>
        <w:overflowPunct/>
        <w:topLinePunct w:val="0"/>
        <w:autoSpaceDE w:val="0"/>
        <w:autoSpaceDN w:val="0"/>
        <w:bidi w:val="0"/>
        <w:adjustRightInd w:val="0"/>
        <w:snapToGrid w:val="0"/>
        <w:spacing w:before="20"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1.4.2联合体各方均应符合本须知1.3.2</w:t>
      </w:r>
      <w:r>
        <w:rPr>
          <w:rFonts w:hint="eastAsia" w:ascii="仿宋" w:hAnsi="仿宋" w:eastAsia="仿宋" w:cs="仿宋"/>
          <w:color w:val="auto"/>
          <w:spacing w:val="-2"/>
          <w:sz w:val="24"/>
          <w:szCs w:val="24"/>
          <w:highlight w:val="none"/>
        </w:rPr>
        <w:t>规定。</w:t>
      </w:r>
    </w:p>
    <w:p w14:paraId="20425AA2">
      <w:pPr>
        <w:keepNext w:val="0"/>
        <w:keepLines w:val="0"/>
        <w:pageBreakBefore w:val="0"/>
        <w:widowControl/>
        <w:kinsoku w:val="0"/>
        <w:wordWrap/>
        <w:overflowPunct/>
        <w:topLinePunct w:val="0"/>
        <w:autoSpaceDE w:val="0"/>
        <w:autoSpaceDN w:val="0"/>
        <w:bidi w:val="0"/>
        <w:adjustRightInd w:val="0"/>
        <w:snapToGrid w:val="0"/>
        <w:spacing w:before="25" w:line="360" w:lineRule="auto"/>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1.4.3征集人根据采购项目对供应商的</w:t>
      </w:r>
      <w:r>
        <w:rPr>
          <w:rFonts w:hint="eastAsia" w:ascii="仿宋" w:hAnsi="仿宋" w:eastAsia="仿宋" w:cs="仿宋"/>
          <w:color w:val="auto"/>
          <w:spacing w:val="-2"/>
          <w:sz w:val="24"/>
          <w:szCs w:val="24"/>
          <w:highlight w:val="none"/>
        </w:rPr>
        <w:t>特殊要求，联合体中至少应当有一方符合相关规定。</w:t>
      </w:r>
    </w:p>
    <w:p w14:paraId="739E813A">
      <w:pPr>
        <w:keepNext w:val="0"/>
        <w:keepLines w:val="0"/>
        <w:pageBreakBefore w:val="0"/>
        <w:widowControl/>
        <w:kinsoku w:val="0"/>
        <w:wordWrap/>
        <w:overflowPunct/>
        <w:topLinePunct w:val="0"/>
        <w:autoSpaceDE w:val="0"/>
        <w:autoSpaceDN w:val="0"/>
        <w:bidi w:val="0"/>
        <w:adjustRightInd w:val="0"/>
        <w:snapToGrid w:val="0"/>
        <w:spacing w:before="25" w:line="360" w:lineRule="auto"/>
        <w:ind w:right="2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1.4.4联合体各方应签订共同协议，明确约定联合体各方承担的工作和相应的责任，并将</w:t>
      </w:r>
      <w:r>
        <w:rPr>
          <w:rFonts w:hint="eastAsia" w:ascii="仿宋" w:hAnsi="仿宋" w:eastAsia="仿宋" w:cs="仿宋"/>
          <w:color w:val="auto"/>
          <w:spacing w:val="-2"/>
          <w:sz w:val="24"/>
          <w:szCs w:val="24"/>
          <w:highlight w:val="none"/>
        </w:rPr>
        <w:t>共同协议作为响应文件的内容提交。</w:t>
      </w:r>
    </w:p>
    <w:p w14:paraId="30B9738F">
      <w:pPr>
        <w:keepNext w:val="0"/>
        <w:keepLines w:val="0"/>
        <w:pageBreakBefore w:val="0"/>
        <w:widowControl/>
        <w:kinsoku w:val="0"/>
        <w:wordWrap/>
        <w:overflowPunct/>
        <w:topLinePunct w:val="0"/>
        <w:autoSpaceDE w:val="0"/>
        <w:autoSpaceDN w:val="0"/>
        <w:bidi w:val="0"/>
        <w:adjustRightInd w:val="0"/>
        <w:snapToGrid w:val="0"/>
        <w:spacing w:before="25" w:line="360" w:lineRule="auto"/>
        <w:ind w:right="2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1.4.5大中型企业、其他自然人、法人或者非法人组织与小型、微型企业组成联合体共同</w:t>
      </w:r>
      <w:r>
        <w:rPr>
          <w:rFonts w:hint="eastAsia" w:ascii="仿宋" w:hAnsi="仿宋" w:eastAsia="仿宋" w:cs="仿宋"/>
          <w:color w:val="auto"/>
          <w:sz w:val="24"/>
          <w:szCs w:val="24"/>
          <w:highlight w:val="none"/>
        </w:rPr>
        <w:t>参加公开征集响应，共同协议中应写明小型、微型企</w:t>
      </w:r>
      <w:r>
        <w:rPr>
          <w:rFonts w:hint="eastAsia" w:ascii="仿宋" w:hAnsi="仿宋" w:eastAsia="仿宋" w:cs="仿宋"/>
          <w:color w:val="auto"/>
          <w:spacing w:val="-1"/>
          <w:sz w:val="24"/>
          <w:szCs w:val="24"/>
          <w:highlight w:val="none"/>
        </w:rPr>
        <w:t>业的协议合同金额占到共同协议投标总</w:t>
      </w:r>
      <w:r>
        <w:rPr>
          <w:rFonts w:hint="eastAsia" w:ascii="仿宋" w:hAnsi="仿宋" w:eastAsia="仿宋" w:cs="仿宋"/>
          <w:color w:val="auto"/>
          <w:spacing w:val="-3"/>
          <w:sz w:val="24"/>
          <w:szCs w:val="24"/>
          <w:highlight w:val="none"/>
        </w:rPr>
        <w:t>金额的比例。</w:t>
      </w:r>
    </w:p>
    <w:p w14:paraId="17D2C684">
      <w:pPr>
        <w:keepNext w:val="0"/>
        <w:keepLines w:val="0"/>
        <w:pageBreakBefore w:val="0"/>
        <w:widowControl/>
        <w:kinsoku w:val="0"/>
        <w:wordWrap/>
        <w:overflowPunct/>
        <w:topLinePunct w:val="0"/>
        <w:autoSpaceDE w:val="0"/>
        <w:autoSpaceDN w:val="0"/>
        <w:bidi w:val="0"/>
        <w:adjustRightInd w:val="0"/>
        <w:snapToGrid w:val="0"/>
        <w:spacing w:before="19" w:line="360" w:lineRule="auto"/>
        <w:ind w:right="2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1.4.6以联合体形式参加公开征集活动的，联合体各方不得再单独参加或者与其他供应商另外组成联合体参加本项目</w:t>
      </w:r>
      <w:r>
        <w:rPr>
          <w:rFonts w:hint="eastAsia" w:ascii="仿宋" w:hAnsi="仿宋" w:eastAsia="仿宋" w:cs="仿宋"/>
          <w:color w:val="auto"/>
          <w:spacing w:val="-1"/>
          <w:sz w:val="24"/>
          <w:szCs w:val="24"/>
          <w:highlight w:val="none"/>
          <w:lang w:val="en-US" w:eastAsia="zh-CN"/>
        </w:rPr>
        <w:t>同一包段</w:t>
      </w:r>
      <w:r>
        <w:rPr>
          <w:rFonts w:hint="eastAsia" w:ascii="仿宋" w:hAnsi="仿宋" w:eastAsia="仿宋" w:cs="仿宋"/>
          <w:color w:val="auto"/>
          <w:spacing w:val="-1"/>
          <w:sz w:val="24"/>
          <w:szCs w:val="24"/>
          <w:highlight w:val="none"/>
        </w:rPr>
        <w:t>的征集活动，否则相关响应文件将被认定为无效。</w:t>
      </w:r>
    </w:p>
    <w:p w14:paraId="74E01A73">
      <w:pPr>
        <w:keepNext w:val="0"/>
        <w:keepLines w:val="0"/>
        <w:pageBreakBefore w:val="0"/>
        <w:widowControl/>
        <w:kinsoku w:val="0"/>
        <w:wordWrap/>
        <w:overflowPunct/>
        <w:topLinePunct w:val="0"/>
        <w:autoSpaceDE w:val="0"/>
        <w:autoSpaceDN w:val="0"/>
        <w:bidi w:val="0"/>
        <w:adjustRightInd w:val="0"/>
        <w:snapToGrid w:val="0"/>
        <w:spacing w:before="22"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1.4.7对联合体的其他资格要求见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2"/>
          <w:sz w:val="24"/>
          <w:szCs w:val="24"/>
          <w:highlight w:val="none"/>
        </w:rPr>
        <w:t>。</w:t>
      </w:r>
    </w:p>
    <w:p w14:paraId="0978B079">
      <w:pPr>
        <w:keepNext w:val="0"/>
        <w:keepLines w:val="0"/>
        <w:pageBreakBefore w:val="0"/>
        <w:widowControl/>
        <w:kinsoku w:val="0"/>
        <w:wordWrap/>
        <w:overflowPunct/>
        <w:topLinePunct w:val="0"/>
        <w:autoSpaceDE w:val="0"/>
        <w:autoSpaceDN w:val="0"/>
        <w:bidi w:val="0"/>
        <w:adjustRightInd w:val="0"/>
        <w:snapToGrid w:val="0"/>
        <w:spacing w:before="25" w:line="360" w:lineRule="auto"/>
        <w:ind w:left="51" w:right="383" w:firstLine="5"/>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1.5单位负责人为同一人或者存在直接控股、管理关系的不同供应商参与本项目同一合同项下的公开征集活动的，其相关响应文件将被认定为无效。</w:t>
      </w:r>
    </w:p>
    <w:p w14:paraId="20CF8B68">
      <w:pPr>
        <w:keepNext w:val="0"/>
        <w:keepLines w:val="0"/>
        <w:pageBreakBefore w:val="0"/>
        <w:widowControl/>
        <w:kinsoku w:val="0"/>
        <w:wordWrap/>
        <w:overflowPunct/>
        <w:topLinePunct w:val="0"/>
        <w:autoSpaceDE w:val="0"/>
        <w:autoSpaceDN w:val="0"/>
        <w:bidi w:val="0"/>
        <w:adjustRightInd w:val="0"/>
        <w:snapToGrid w:val="0"/>
        <w:spacing w:before="24" w:line="360" w:lineRule="auto"/>
        <w:ind w:left="49" w:right="383" w:firstLine="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1.6为本项目提供过整体设计、规范编制或者项目管理、监理、检测等服务的供应商，不得再参加本项目上述服务以外的其他采购活动。否则其响应文件将被认定为无效。</w:t>
      </w:r>
    </w:p>
    <w:p w14:paraId="0AB41AB8">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2.资金来源</w:t>
      </w:r>
    </w:p>
    <w:p w14:paraId="262E804D">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2.1本项目的采购人已获得足以支付本次公开征集活动后所签</w:t>
      </w:r>
      <w:r>
        <w:rPr>
          <w:rFonts w:hint="eastAsia" w:ascii="仿宋" w:hAnsi="仿宋" w:eastAsia="仿宋" w:cs="仿宋"/>
          <w:color w:val="auto"/>
          <w:spacing w:val="-1"/>
          <w:sz w:val="24"/>
          <w:szCs w:val="24"/>
          <w:highlight w:val="none"/>
        </w:rPr>
        <w:t>订的合同项下的资金（包括财</w:t>
      </w:r>
    </w:p>
    <w:p w14:paraId="383FCED1">
      <w:pPr>
        <w:keepNext w:val="0"/>
        <w:keepLines w:val="0"/>
        <w:pageBreakBefore w:val="0"/>
        <w:widowControl/>
        <w:kinsoku w:val="0"/>
        <w:wordWrap/>
        <w:overflowPunct/>
        <w:topLinePunct w:val="0"/>
        <w:autoSpaceDE w:val="0"/>
        <w:autoSpaceDN w:val="0"/>
        <w:bidi w:val="0"/>
        <w:adjustRightInd w:val="0"/>
        <w:snapToGrid w:val="0"/>
        <w:spacing w:before="25" w:line="360" w:lineRule="auto"/>
        <w:ind w:left="4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政性资金和本项目采购中无法与财政性资金分割的非财政性资金）。</w:t>
      </w:r>
    </w:p>
    <w:p w14:paraId="1F8B1D5D">
      <w:pPr>
        <w:keepNext w:val="0"/>
        <w:keepLines w:val="0"/>
        <w:pageBreakBefore w:val="0"/>
        <w:widowControl/>
        <w:kinsoku w:val="0"/>
        <w:wordWrap/>
        <w:overflowPunct/>
        <w:topLinePunct w:val="0"/>
        <w:autoSpaceDE w:val="0"/>
        <w:autoSpaceDN w:val="0"/>
        <w:bidi w:val="0"/>
        <w:adjustRightInd w:val="0"/>
        <w:snapToGrid w:val="0"/>
        <w:spacing w:line="360" w:lineRule="auto"/>
        <w:ind w:left="4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2.2项目预算金额最高限价（如有）见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w:t>
      </w:r>
    </w:p>
    <w:p w14:paraId="4B0D6B9C">
      <w:pPr>
        <w:keepNext w:val="0"/>
        <w:keepLines w:val="0"/>
        <w:pageBreakBefore w:val="0"/>
        <w:widowControl/>
        <w:kinsoku w:val="0"/>
        <w:wordWrap/>
        <w:overflowPunct/>
        <w:topLinePunct w:val="0"/>
        <w:autoSpaceDE w:val="0"/>
        <w:autoSpaceDN w:val="0"/>
        <w:bidi w:val="0"/>
        <w:adjustRightInd w:val="0"/>
        <w:snapToGrid w:val="0"/>
        <w:spacing w:before="25" w:line="360" w:lineRule="auto"/>
        <w:ind w:left="4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2.3供应商报价超过征集文件规定的预算金额或者最高限价的，</w:t>
      </w:r>
      <w:r>
        <w:rPr>
          <w:rFonts w:hint="eastAsia" w:ascii="仿宋" w:hAnsi="仿宋" w:eastAsia="仿宋" w:cs="仿宋"/>
          <w:color w:val="auto"/>
          <w:spacing w:val="-1"/>
          <w:sz w:val="24"/>
          <w:szCs w:val="24"/>
          <w:highlight w:val="none"/>
        </w:rPr>
        <w:t>其响应文件将被认定为无效。</w:t>
      </w:r>
    </w:p>
    <w:p w14:paraId="29202EC6">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3.征集费用</w:t>
      </w:r>
    </w:p>
    <w:p w14:paraId="49A2AFF6">
      <w:pPr>
        <w:keepNext w:val="0"/>
        <w:keepLines w:val="0"/>
        <w:pageBreakBefore w:val="0"/>
        <w:widowControl/>
        <w:kinsoku w:val="0"/>
        <w:wordWrap/>
        <w:overflowPunct/>
        <w:topLinePunct w:val="0"/>
        <w:autoSpaceDE w:val="0"/>
        <w:autoSpaceDN w:val="0"/>
        <w:bidi w:val="0"/>
        <w:adjustRightInd w:val="0"/>
        <w:snapToGrid w:val="0"/>
        <w:spacing w:before="45" w:line="360" w:lineRule="auto"/>
        <w:ind w:firstLine="238" w:firstLineChars="1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不论公开征集活动的结果如何，供应商应承担所有与征集活动有关的费用。</w:t>
      </w:r>
    </w:p>
    <w:p w14:paraId="14F18FA9">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4.适用法律</w:t>
      </w:r>
    </w:p>
    <w:p w14:paraId="6E2D15A3">
      <w:pPr>
        <w:keepNext w:val="0"/>
        <w:keepLines w:val="0"/>
        <w:pageBreakBefore w:val="0"/>
        <w:widowControl/>
        <w:kinsoku w:val="0"/>
        <w:wordWrap/>
        <w:overflowPunct/>
        <w:topLinePunct w:val="0"/>
        <w:autoSpaceDE w:val="0"/>
        <w:autoSpaceDN w:val="0"/>
        <w:bidi w:val="0"/>
        <w:adjustRightInd w:val="0"/>
        <w:snapToGrid w:val="0"/>
        <w:spacing w:before="72" w:line="360" w:lineRule="auto"/>
        <w:ind w:left="47" w:right="354" w:firstLine="51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本项目采购人、征集人、供应商、评标委员会的相关行为均受《中华人民共和国政</w:t>
      </w:r>
      <w:r>
        <w:rPr>
          <w:rFonts w:hint="eastAsia" w:ascii="仿宋" w:hAnsi="仿宋" w:eastAsia="仿宋" w:cs="仿宋"/>
          <w:color w:val="auto"/>
          <w:spacing w:val="8"/>
          <w:sz w:val="24"/>
          <w:szCs w:val="24"/>
          <w:highlight w:val="none"/>
        </w:rPr>
        <w:t>府采购法》、《中华人民共和国政府采购法实施条例》</w:t>
      </w:r>
      <w:r>
        <w:rPr>
          <w:rFonts w:hint="eastAsia" w:ascii="仿宋" w:hAnsi="仿宋" w:eastAsia="仿宋" w:cs="仿宋"/>
          <w:color w:val="auto"/>
          <w:spacing w:val="8"/>
          <w:sz w:val="24"/>
          <w:szCs w:val="24"/>
          <w:highlight w:val="none"/>
          <w:lang w:eastAsia="zh-CN"/>
        </w:rPr>
        <w:t>、</w:t>
      </w:r>
      <w:r>
        <w:rPr>
          <w:rFonts w:hint="eastAsia" w:ascii="仿宋" w:hAnsi="仿宋" w:eastAsia="仿宋" w:cs="仿宋"/>
          <w:color w:val="auto"/>
          <w:spacing w:val="8"/>
          <w:sz w:val="24"/>
          <w:szCs w:val="24"/>
          <w:highlight w:val="none"/>
        </w:rPr>
        <w:t>《政府采购非</w:t>
      </w:r>
      <w:r>
        <w:rPr>
          <w:rFonts w:hint="eastAsia" w:ascii="仿宋" w:hAnsi="仿宋" w:eastAsia="仿宋" w:cs="仿宋"/>
          <w:color w:val="auto"/>
          <w:spacing w:val="7"/>
          <w:sz w:val="24"/>
          <w:szCs w:val="24"/>
          <w:highlight w:val="none"/>
        </w:rPr>
        <w:t>招标采购方式管理</w:t>
      </w:r>
      <w:r>
        <w:rPr>
          <w:rFonts w:hint="eastAsia" w:ascii="仿宋" w:hAnsi="仿宋" w:eastAsia="仿宋" w:cs="仿宋"/>
          <w:color w:val="auto"/>
          <w:spacing w:val="9"/>
          <w:sz w:val="24"/>
          <w:szCs w:val="24"/>
          <w:highlight w:val="none"/>
        </w:rPr>
        <w:t>办法》</w:t>
      </w:r>
      <w:r>
        <w:rPr>
          <w:rFonts w:hint="eastAsia" w:ascii="仿宋" w:hAnsi="仿宋" w:eastAsia="仿宋" w:cs="仿宋"/>
          <w:color w:val="auto"/>
          <w:spacing w:val="9"/>
          <w:sz w:val="24"/>
          <w:szCs w:val="24"/>
          <w:highlight w:val="none"/>
          <w:lang w:eastAsia="zh-CN"/>
        </w:rPr>
        <w:t>、</w:t>
      </w:r>
      <w:r>
        <w:rPr>
          <w:rFonts w:hint="eastAsia" w:ascii="仿宋" w:hAnsi="仿宋" w:eastAsia="仿宋" w:cs="仿宋"/>
          <w:color w:val="auto"/>
          <w:spacing w:val="9"/>
          <w:sz w:val="24"/>
          <w:szCs w:val="24"/>
          <w:highlight w:val="none"/>
          <w:lang w:val="en-US" w:eastAsia="zh-CN"/>
        </w:rPr>
        <w:t>《政府采购框架协议采购方式管理暂行办法》</w:t>
      </w:r>
      <w:r>
        <w:rPr>
          <w:rFonts w:hint="eastAsia" w:ascii="仿宋" w:hAnsi="仿宋" w:eastAsia="仿宋" w:cs="仿宋"/>
          <w:color w:val="auto"/>
          <w:spacing w:val="9"/>
          <w:sz w:val="24"/>
          <w:szCs w:val="24"/>
          <w:highlight w:val="none"/>
        </w:rPr>
        <w:t>及本项目本级和上级财政部门政府采购有关规定的约束，其权利受到上述法律法</w:t>
      </w:r>
      <w:r>
        <w:rPr>
          <w:rFonts w:hint="eastAsia" w:ascii="仿宋" w:hAnsi="仿宋" w:eastAsia="仿宋" w:cs="仿宋"/>
          <w:color w:val="auto"/>
          <w:spacing w:val="2"/>
          <w:sz w:val="24"/>
          <w:szCs w:val="24"/>
          <w:highlight w:val="none"/>
        </w:rPr>
        <w:t>规的保护。</w:t>
      </w:r>
    </w:p>
    <w:p w14:paraId="5FFE0E17">
      <w:pPr>
        <w:spacing w:before="204" w:line="366" w:lineRule="auto"/>
        <w:ind w:left="26" w:right="75" w:firstLine="484"/>
        <w:jc w:val="both"/>
        <w:rPr>
          <w:rFonts w:hint="eastAsia" w:ascii="仿宋" w:hAnsi="仿宋" w:eastAsia="仿宋" w:cs="仿宋"/>
          <w:color w:val="auto"/>
          <w:sz w:val="23"/>
          <w:szCs w:val="23"/>
          <w:highlight w:val="none"/>
        </w:rPr>
      </w:pPr>
    </w:p>
    <w:p w14:paraId="249D0956">
      <w:pPr>
        <w:keepNext w:val="0"/>
        <w:keepLines w:val="0"/>
        <w:pageBreakBefore w:val="0"/>
        <w:widowControl/>
        <w:kinsoku w:val="0"/>
        <w:wordWrap/>
        <w:overflowPunct/>
        <w:topLinePunct w:val="0"/>
        <w:autoSpaceDE w:val="0"/>
        <w:autoSpaceDN w:val="0"/>
        <w:bidi w:val="0"/>
        <w:adjustRightInd w:val="0"/>
        <w:snapToGrid w:val="0"/>
        <w:spacing w:before="54" w:line="360" w:lineRule="auto"/>
        <w:ind w:left="4114"/>
        <w:textAlignment w:val="baseline"/>
        <w:outlineLvl w:val="1"/>
        <w:rPr>
          <w:rFonts w:hint="eastAsia" w:ascii="仿宋" w:hAnsi="仿宋" w:eastAsia="仿宋" w:cs="仿宋"/>
          <w:color w:val="auto"/>
          <w:sz w:val="36"/>
          <w:szCs w:val="36"/>
          <w:highlight w:val="none"/>
        </w:rPr>
      </w:pPr>
      <w:r>
        <w:rPr>
          <w:rFonts w:hint="eastAsia" w:ascii="仿宋" w:hAnsi="仿宋" w:eastAsia="仿宋" w:cs="仿宋"/>
          <w:color w:val="auto"/>
          <w:spacing w:val="-9"/>
          <w:sz w:val="36"/>
          <w:szCs w:val="36"/>
          <w:highlight w:val="none"/>
          <w14:textOutline w14:w="5103" w14:cap="sq" w14:cmpd="sng">
            <w14:solidFill>
              <w14:srgbClr w14:val="000000"/>
            </w14:solidFill>
            <w14:prstDash w14:val="solid"/>
            <w14:bevel/>
          </w14:textOutline>
        </w:rPr>
        <w:t>二</w:t>
      </w:r>
      <w:r>
        <w:rPr>
          <w:rFonts w:hint="eastAsia" w:ascii="仿宋" w:hAnsi="仿宋" w:eastAsia="仿宋" w:cs="仿宋"/>
          <w:color w:val="auto"/>
          <w:spacing w:val="22"/>
          <w:sz w:val="36"/>
          <w:szCs w:val="36"/>
          <w:highlight w:val="none"/>
        </w:rPr>
        <w:t xml:space="preserve"> </w:t>
      </w:r>
      <w:r>
        <w:rPr>
          <w:rFonts w:hint="eastAsia" w:ascii="仿宋" w:hAnsi="仿宋" w:eastAsia="仿宋" w:cs="仿宋"/>
          <w:color w:val="auto"/>
          <w:spacing w:val="-9"/>
          <w:sz w:val="36"/>
          <w:szCs w:val="36"/>
          <w:highlight w:val="none"/>
          <w14:textOutline w14:w="5103" w14:cap="sq" w14:cmpd="sng">
            <w14:solidFill>
              <w14:srgbClr w14:val="000000"/>
            </w14:solidFill>
            <w14:prstDash w14:val="solid"/>
            <w14:bevel/>
          </w14:textOutline>
        </w:rPr>
        <w:t>征集文件</w:t>
      </w:r>
    </w:p>
    <w:p w14:paraId="265950FE">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5.征集文件构成</w:t>
      </w:r>
    </w:p>
    <w:p w14:paraId="2106DA99">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5.1征集文件共</w:t>
      </w:r>
      <w:r>
        <w:rPr>
          <w:rFonts w:hint="eastAsia" w:ascii="仿宋" w:hAnsi="仿宋" w:eastAsia="仿宋" w:cs="仿宋"/>
          <w:color w:val="auto"/>
          <w:spacing w:val="-1"/>
          <w:sz w:val="24"/>
          <w:szCs w:val="24"/>
          <w:highlight w:val="none"/>
          <w:lang w:val="en-US" w:eastAsia="zh-CN"/>
        </w:rPr>
        <w:t>七部分</w:t>
      </w:r>
      <w:r>
        <w:rPr>
          <w:rFonts w:hint="eastAsia" w:ascii="仿宋" w:hAnsi="仿宋" w:eastAsia="仿宋" w:cs="仿宋"/>
          <w:color w:val="auto"/>
          <w:spacing w:val="-1"/>
          <w:sz w:val="24"/>
          <w:szCs w:val="24"/>
          <w:highlight w:val="none"/>
        </w:rPr>
        <w:t>，构成如下：</w:t>
      </w:r>
    </w:p>
    <w:p w14:paraId="5AF49ED5">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5" w:leftChars="131" w:right="203" w:firstLine="225" w:firstLineChars="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w:t>
      </w:r>
      <w:r>
        <w:rPr>
          <w:rFonts w:hint="eastAsia" w:ascii="仿宋" w:hAnsi="仿宋" w:eastAsia="仿宋" w:cs="仿宋"/>
          <w:color w:val="auto"/>
          <w:sz w:val="24"/>
          <w:szCs w:val="24"/>
          <w:highlight w:val="none"/>
          <w:lang w:val="en-US" w:eastAsia="zh-CN"/>
        </w:rPr>
        <w:t>部分</w:t>
      </w:r>
      <w:r>
        <w:rPr>
          <w:rFonts w:hint="eastAsia" w:ascii="仿宋" w:hAnsi="仿宋" w:eastAsia="仿宋" w:cs="仿宋"/>
          <w:color w:val="auto"/>
          <w:sz w:val="24"/>
          <w:szCs w:val="24"/>
          <w:highlight w:val="none"/>
        </w:rPr>
        <w:t xml:space="preserve"> 征集公告</w:t>
      </w:r>
    </w:p>
    <w:p w14:paraId="0D188520">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5" w:leftChars="131" w:right="203" w:firstLine="225" w:firstLineChars="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w:t>
      </w:r>
      <w:r>
        <w:rPr>
          <w:rFonts w:hint="eastAsia" w:ascii="仿宋" w:hAnsi="仿宋" w:eastAsia="仿宋" w:cs="仿宋"/>
          <w:color w:val="auto"/>
          <w:sz w:val="24"/>
          <w:szCs w:val="24"/>
          <w:highlight w:val="none"/>
          <w:lang w:val="en-US" w:eastAsia="zh-CN"/>
        </w:rPr>
        <w:t>部分</w:t>
      </w:r>
      <w:r>
        <w:rPr>
          <w:rFonts w:hint="eastAsia" w:ascii="仿宋" w:hAnsi="仿宋" w:eastAsia="仿宋" w:cs="仿宋"/>
          <w:color w:val="auto"/>
          <w:sz w:val="24"/>
          <w:szCs w:val="24"/>
          <w:highlight w:val="none"/>
        </w:rPr>
        <w:t xml:space="preserve"> 供应商须知</w:t>
      </w:r>
    </w:p>
    <w:p w14:paraId="10D352B2">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5" w:leftChars="131" w:right="203" w:firstLine="225" w:firstLineChars="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w:t>
      </w:r>
      <w:r>
        <w:rPr>
          <w:rFonts w:hint="eastAsia" w:ascii="仿宋" w:hAnsi="仿宋" w:eastAsia="仿宋" w:cs="仿宋"/>
          <w:color w:val="auto"/>
          <w:sz w:val="24"/>
          <w:szCs w:val="24"/>
          <w:highlight w:val="none"/>
          <w:lang w:val="en-US" w:eastAsia="zh-CN"/>
        </w:rPr>
        <w:t>部分</w:t>
      </w:r>
      <w:r>
        <w:rPr>
          <w:rFonts w:hint="eastAsia" w:ascii="仿宋" w:hAnsi="仿宋" w:eastAsia="仿宋" w:cs="仿宋"/>
          <w:color w:val="auto"/>
          <w:sz w:val="24"/>
          <w:szCs w:val="24"/>
          <w:highlight w:val="none"/>
        </w:rPr>
        <w:t xml:space="preserve"> 采购需求</w:t>
      </w:r>
    </w:p>
    <w:p w14:paraId="57596A64">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5" w:leftChars="131" w:right="203" w:firstLine="225" w:firstLineChars="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w:t>
      </w:r>
      <w:r>
        <w:rPr>
          <w:rFonts w:hint="eastAsia" w:ascii="仿宋" w:hAnsi="仿宋" w:eastAsia="仿宋" w:cs="仿宋"/>
          <w:color w:val="auto"/>
          <w:sz w:val="24"/>
          <w:szCs w:val="24"/>
          <w:highlight w:val="none"/>
          <w:lang w:val="en-US" w:eastAsia="zh-CN"/>
        </w:rPr>
        <w:t>部分</w:t>
      </w:r>
      <w:r>
        <w:rPr>
          <w:rFonts w:hint="eastAsia" w:ascii="仿宋" w:hAnsi="仿宋" w:eastAsia="仿宋" w:cs="仿宋"/>
          <w:color w:val="auto"/>
          <w:sz w:val="24"/>
          <w:szCs w:val="24"/>
          <w:highlight w:val="none"/>
        </w:rPr>
        <w:t xml:space="preserve"> 评审方法和标准</w:t>
      </w:r>
    </w:p>
    <w:p w14:paraId="62AA9CE2">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5" w:leftChars="131" w:right="203" w:firstLine="225" w:firstLineChars="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w:t>
      </w:r>
      <w:r>
        <w:rPr>
          <w:rFonts w:hint="eastAsia" w:ascii="仿宋" w:hAnsi="仿宋" w:eastAsia="仿宋" w:cs="仿宋"/>
          <w:color w:val="auto"/>
          <w:sz w:val="24"/>
          <w:szCs w:val="24"/>
          <w:highlight w:val="none"/>
          <w:lang w:val="en-US" w:eastAsia="zh-CN"/>
        </w:rPr>
        <w:t>部分</w:t>
      </w:r>
      <w:r>
        <w:rPr>
          <w:rFonts w:hint="eastAsia" w:ascii="仿宋" w:hAnsi="仿宋" w:eastAsia="仿宋" w:cs="仿宋"/>
          <w:color w:val="auto"/>
          <w:sz w:val="24"/>
          <w:szCs w:val="24"/>
          <w:highlight w:val="none"/>
        </w:rPr>
        <w:t xml:space="preserve"> 框架协议（参考）</w:t>
      </w:r>
    </w:p>
    <w:p w14:paraId="16DB4143">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5" w:leftChars="131" w:right="203" w:firstLine="225" w:firstLineChars="94"/>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第六</w:t>
      </w:r>
      <w:r>
        <w:rPr>
          <w:rFonts w:hint="eastAsia" w:ascii="仿宋" w:hAnsi="仿宋" w:eastAsia="仿宋" w:cs="仿宋"/>
          <w:color w:val="auto"/>
          <w:sz w:val="24"/>
          <w:szCs w:val="24"/>
          <w:highlight w:val="none"/>
          <w:lang w:val="en-US" w:eastAsia="zh-CN"/>
        </w:rPr>
        <w:t>部分</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采购合同（</w:t>
      </w:r>
      <w:r>
        <w:rPr>
          <w:rFonts w:hint="eastAsia" w:ascii="仿宋" w:hAnsi="仿宋" w:eastAsia="仿宋" w:cs="仿宋"/>
          <w:color w:val="auto"/>
          <w:sz w:val="24"/>
          <w:szCs w:val="24"/>
          <w:highlight w:val="none"/>
        </w:rPr>
        <w:t>格式</w:t>
      </w:r>
      <w:r>
        <w:rPr>
          <w:rFonts w:hint="eastAsia" w:ascii="仿宋" w:hAnsi="仿宋" w:eastAsia="仿宋" w:cs="仿宋"/>
          <w:color w:val="auto"/>
          <w:sz w:val="24"/>
          <w:szCs w:val="24"/>
          <w:highlight w:val="none"/>
          <w:lang w:eastAsia="zh-CN"/>
        </w:rPr>
        <w:t>）</w:t>
      </w:r>
    </w:p>
    <w:p w14:paraId="5BF43AB4">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5" w:leftChars="131" w:right="203" w:firstLine="225" w:firstLineChars="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七部分</w:t>
      </w:r>
      <w:r>
        <w:rPr>
          <w:rFonts w:hint="eastAsia" w:ascii="仿宋" w:hAnsi="仿宋" w:eastAsia="仿宋" w:cs="仿宋"/>
          <w:color w:val="auto"/>
          <w:sz w:val="24"/>
          <w:szCs w:val="24"/>
          <w:highlight w:val="none"/>
        </w:rPr>
        <w:t xml:space="preserve"> 响应文件格式</w:t>
      </w:r>
    </w:p>
    <w:p w14:paraId="01033148">
      <w:pPr>
        <w:keepNext w:val="0"/>
        <w:keepLines w:val="0"/>
        <w:pageBreakBefore w:val="0"/>
        <w:widowControl/>
        <w:kinsoku w:val="0"/>
        <w:wordWrap/>
        <w:overflowPunct/>
        <w:topLinePunct w:val="0"/>
        <w:autoSpaceDE w:val="0"/>
        <w:autoSpaceDN w:val="0"/>
        <w:bidi w:val="0"/>
        <w:adjustRightInd w:val="0"/>
        <w:snapToGrid w:val="0"/>
        <w:spacing w:before="23" w:line="360" w:lineRule="auto"/>
        <w:ind w:right="2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5.2征集文件中有不一致的，有澄清的部分以最终的澄清</w:t>
      </w:r>
      <w:r>
        <w:rPr>
          <w:rFonts w:hint="eastAsia" w:ascii="仿宋" w:hAnsi="仿宋" w:eastAsia="仿宋" w:cs="仿宋"/>
          <w:color w:val="auto"/>
          <w:spacing w:val="-1"/>
          <w:sz w:val="24"/>
          <w:szCs w:val="24"/>
          <w:highlight w:val="none"/>
        </w:rPr>
        <w:t>更正内容为准；未澄清的，以</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为准；</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不涉及的内容，以编排在后的描述为准。</w:t>
      </w:r>
    </w:p>
    <w:p w14:paraId="5A8CDAD9">
      <w:pPr>
        <w:keepNext w:val="0"/>
        <w:keepLines w:val="0"/>
        <w:pageBreakBefore w:val="0"/>
        <w:widowControl/>
        <w:kinsoku w:val="0"/>
        <w:wordWrap/>
        <w:overflowPunct/>
        <w:topLinePunct w:val="0"/>
        <w:autoSpaceDE w:val="0"/>
        <w:autoSpaceDN w:val="0"/>
        <w:bidi w:val="0"/>
        <w:adjustRightInd w:val="0"/>
        <w:snapToGrid w:val="0"/>
        <w:spacing w:before="26" w:line="360" w:lineRule="auto"/>
        <w:ind w:left="44" w:right="83" w:hanging="2"/>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5.3供应商应认真阅读征集文件所有的事项、格式、条款</w:t>
      </w:r>
      <w:r>
        <w:rPr>
          <w:rFonts w:hint="eastAsia" w:ascii="仿宋" w:hAnsi="仿宋" w:eastAsia="仿宋" w:cs="仿宋"/>
          <w:color w:val="auto"/>
          <w:spacing w:val="-1"/>
          <w:sz w:val="24"/>
          <w:szCs w:val="24"/>
          <w:highlight w:val="none"/>
        </w:rPr>
        <w:t>和技术规范等。如供应商没有按照</w:t>
      </w:r>
      <w:r>
        <w:rPr>
          <w:rFonts w:hint="eastAsia" w:ascii="仿宋" w:hAnsi="仿宋" w:eastAsia="仿宋" w:cs="仿宋"/>
          <w:color w:val="auto"/>
          <w:sz w:val="24"/>
          <w:szCs w:val="24"/>
          <w:highlight w:val="none"/>
        </w:rPr>
        <w:t>征集文件要求提交全部资料，或者响应文件没有对征</w:t>
      </w:r>
      <w:r>
        <w:rPr>
          <w:rFonts w:hint="eastAsia" w:ascii="仿宋" w:hAnsi="仿宋" w:eastAsia="仿宋" w:cs="仿宋"/>
          <w:color w:val="auto"/>
          <w:spacing w:val="-1"/>
          <w:sz w:val="24"/>
          <w:szCs w:val="24"/>
          <w:highlight w:val="none"/>
        </w:rPr>
        <w:t>集文件的实质性要求做出响应，其响应</w:t>
      </w:r>
      <w:r>
        <w:rPr>
          <w:rFonts w:hint="eastAsia" w:ascii="仿宋" w:hAnsi="仿宋" w:eastAsia="仿宋" w:cs="仿宋"/>
          <w:color w:val="auto"/>
          <w:spacing w:val="-2"/>
          <w:sz w:val="24"/>
          <w:szCs w:val="24"/>
          <w:highlight w:val="none"/>
        </w:rPr>
        <w:t>文件将被认定为无效。</w:t>
      </w:r>
    </w:p>
    <w:p w14:paraId="080BC9A4">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6.征集文件的澄清与修改</w:t>
      </w:r>
    </w:p>
    <w:p w14:paraId="725C2CC5">
      <w:pPr>
        <w:keepNext w:val="0"/>
        <w:keepLines w:val="0"/>
        <w:pageBreakBefore w:val="0"/>
        <w:widowControl/>
        <w:kinsoku w:val="0"/>
        <w:wordWrap/>
        <w:overflowPunct/>
        <w:topLinePunct w:val="0"/>
        <w:autoSpaceDE w:val="0"/>
        <w:autoSpaceDN w:val="0"/>
        <w:bidi w:val="0"/>
        <w:adjustRightInd w:val="0"/>
        <w:snapToGrid w:val="0"/>
        <w:spacing w:before="45" w:line="360" w:lineRule="auto"/>
        <w:ind w:left="58" w:right="203" w:hanging="19"/>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6.1在提交征集响应文件截止日期前15天，采购人或代理机构可</w:t>
      </w:r>
      <w:r>
        <w:rPr>
          <w:rFonts w:hint="eastAsia" w:ascii="仿宋" w:hAnsi="仿宋" w:eastAsia="仿宋" w:cs="仿宋"/>
          <w:color w:val="auto"/>
          <w:spacing w:val="-1"/>
          <w:sz w:val="24"/>
          <w:szCs w:val="24"/>
          <w:highlight w:val="none"/>
        </w:rPr>
        <w:t>主动的或在解答供应商提出</w:t>
      </w:r>
      <w:r>
        <w:rPr>
          <w:rFonts w:hint="eastAsia" w:ascii="仿宋" w:hAnsi="仿宋" w:eastAsia="仿宋" w:cs="仿宋"/>
          <w:color w:val="auto"/>
          <w:spacing w:val="-3"/>
          <w:sz w:val="24"/>
          <w:szCs w:val="24"/>
          <w:highlight w:val="none"/>
        </w:rPr>
        <w:t>的问题时对征集文件进行修改。</w:t>
      </w:r>
    </w:p>
    <w:p w14:paraId="5F847217">
      <w:pPr>
        <w:keepNext w:val="0"/>
        <w:keepLines w:val="0"/>
        <w:pageBreakBefore w:val="0"/>
        <w:widowControl/>
        <w:kinsoku w:val="0"/>
        <w:wordWrap/>
        <w:overflowPunct/>
        <w:topLinePunct w:val="0"/>
        <w:autoSpaceDE w:val="0"/>
        <w:autoSpaceDN w:val="0"/>
        <w:bidi w:val="0"/>
        <w:adjustRightInd w:val="0"/>
        <w:snapToGrid w:val="0"/>
        <w:spacing w:before="25" w:line="360" w:lineRule="auto"/>
        <w:ind w:left="39" w:right="12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6.2征集文件的修改将以变更公告形式在新疆政府采购网发布,并对所有供应</w:t>
      </w:r>
      <w:r>
        <w:rPr>
          <w:rFonts w:hint="eastAsia" w:ascii="仿宋" w:hAnsi="仿宋" w:eastAsia="仿宋" w:cs="仿宋"/>
          <w:color w:val="auto"/>
          <w:spacing w:val="-2"/>
          <w:sz w:val="24"/>
          <w:szCs w:val="24"/>
          <w:highlight w:val="none"/>
        </w:rPr>
        <w:t>商具有约束力。</w:t>
      </w:r>
      <w:r>
        <w:rPr>
          <w:rFonts w:hint="eastAsia" w:ascii="仿宋" w:hAnsi="仿宋" w:eastAsia="仿宋" w:cs="仿宋"/>
          <w:color w:val="auto"/>
          <w:spacing w:val="-1"/>
          <w:sz w:val="24"/>
          <w:szCs w:val="24"/>
          <w:highlight w:val="none"/>
        </w:rPr>
        <w:t>6.3为使供应商在编写征集响应文件时有充分时间对征集文件的修改部分进行研究，代理单位可以酌情后延投标日期。</w:t>
      </w:r>
    </w:p>
    <w:p w14:paraId="7062B9E7">
      <w:pPr>
        <w:keepNext w:val="0"/>
        <w:keepLines w:val="0"/>
        <w:pageBreakBefore w:val="0"/>
        <w:widowControl/>
        <w:kinsoku w:val="0"/>
        <w:wordWrap/>
        <w:overflowPunct/>
        <w:topLinePunct w:val="0"/>
        <w:autoSpaceDE w:val="0"/>
        <w:autoSpaceDN w:val="0"/>
        <w:bidi w:val="0"/>
        <w:adjustRightInd w:val="0"/>
        <w:snapToGrid w:val="0"/>
        <w:spacing w:before="23" w:line="360" w:lineRule="auto"/>
        <w:ind w:left="45" w:right="6" w:hanging="6"/>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6.4对征集文件的澄清与修改均须经过采购人确认后方可发放。</w:t>
      </w:r>
      <w:r>
        <w:rPr>
          <w:rFonts w:hint="eastAsia" w:ascii="仿宋" w:hAnsi="仿宋" w:eastAsia="仿宋" w:cs="仿宋"/>
          <w:color w:val="auto"/>
          <w:spacing w:val="-2"/>
          <w:sz w:val="24"/>
          <w:szCs w:val="24"/>
          <w:highlight w:val="none"/>
        </w:rPr>
        <w:t>当征集文件、修改补充通知、</w:t>
      </w:r>
      <w:r>
        <w:rPr>
          <w:rFonts w:hint="eastAsia" w:ascii="仿宋" w:hAnsi="仿宋" w:eastAsia="仿宋" w:cs="仿宋"/>
          <w:color w:val="auto"/>
          <w:sz w:val="24"/>
          <w:szCs w:val="24"/>
          <w:highlight w:val="none"/>
        </w:rPr>
        <w:t>澄清（答疑）记录内容相互矛盾时，以最后发出的</w:t>
      </w:r>
      <w:r>
        <w:rPr>
          <w:rFonts w:hint="eastAsia" w:ascii="仿宋" w:hAnsi="仿宋" w:eastAsia="仿宋" w:cs="仿宋"/>
          <w:color w:val="auto"/>
          <w:spacing w:val="-1"/>
          <w:sz w:val="24"/>
          <w:szCs w:val="24"/>
          <w:highlight w:val="none"/>
        </w:rPr>
        <w:t>通知（或纪要）或修改文件为准；因新疆</w:t>
      </w:r>
      <w:r>
        <w:rPr>
          <w:rFonts w:hint="eastAsia" w:ascii="仿宋" w:hAnsi="仿宋" w:eastAsia="仿宋" w:cs="仿宋"/>
          <w:color w:val="auto"/>
          <w:sz w:val="24"/>
          <w:szCs w:val="24"/>
          <w:highlight w:val="none"/>
        </w:rPr>
        <w:t>政府采购网政采云平台在开标前具有保密性，供应</w:t>
      </w:r>
      <w:r>
        <w:rPr>
          <w:rFonts w:hint="eastAsia" w:ascii="仿宋" w:hAnsi="仿宋" w:eastAsia="仿宋" w:cs="仿宋"/>
          <w:color w:val="auto"/>
          <w:spacing w:val="-1"/>
          <w:sz w:val="24"/>
          <w:szCs w:val="24"/>
          <w:highlight w:val="none"/>
        </w:rPr>
        <w:t>商在征集响应文件递交截止时间前须自行查看项目进展、变更通知、澄清及回复，因供应商未及时查看而造成的后果自负。</w:t>
      </w:r>
    </w:p>
    <w:p w14:paraId="288197D6">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7.响应文件递交截止时间的顺延</w:t>
      </w:r>
    </w:p>
    <w:p w14:paraId="6DCA9DB1">
      <w:pPr>
        <w:keepNext w:val="0"/>
        <w:keepLines w:val="0"/>
        <w:pageBreakBefore w:val="0"/>
        <w:widowControl/>
        <w:kinsoku w:val="0"/>
        <w:wordWrap/>
        <w:overflowPunct/>
        <w:topLinePunct w:val="0"/>
        <w:autoSpaceDE w:val="0"/>
        <w:autoSpaceDN w:val="0"/>
        <w:bidi w:val="0"/>
        <w:adjustRightInd w:val="0"/>
        <w:snapToGrid w:val="0"/>
        <w:spacing w:before="44" w:line="360" w:lineRule="auto"/>
        <w:ind w:left="48" w:right="143" w:firstLine="424"/>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为使供应商有足够的时间对征集文件的澄清或者修改部分进行研究而准备征集响应工作或因其他原因，征集人将依法决定是否顺延响应文件递交截止时间。</w:t>
      </w:r>
    </w:p>
    <w:p w14:paraId="0B6B0384">
      <w:pPr>
        <w:keepNext w:val="0"/>
        <w:keepLines w:val="0"/>
        <w:pageBreakBefore w:val="0"/>
        <w:widowControl/>
        <w:kinsoku w:val="0"/>
        <w:wordWrap/>
        <w:overflowPunct/>
        <w:topLinePunct w:val="0"/>
        <w:autoSpaceDE w:val="0"/>
        <w:autoSpaceDN w:val="0"/>
        <w:bidi w:val="0"/>
        <w:adjustRightInd w:val="0"/>
        <w:snapToGrid w:val="0"/>
        <w:spacing w:before="30" w:line="360" w:lineRule="auto"/>
        <w:ind w:left="3693"/>
        <w:textAlignment w:val="baseline"/>
        <w:outlineLvl w:val="1"/>
        <w:rPr>
          <w:rFonts w:hint="eastAsia" w:ascii="仿宋" w:hAnsi="仿宋" w:eastAsia="仿宋" w:cs="仿宋"/>
          <w:color w:val="auto"/>
          <w:sz w:val="36"/>
          <w:szCs w:val="36"/>
          <w:highlight w:val="none"/>
        </w:rPr>
      </w:pPr>
      <w:r>
        <w:rPr>
          <w:rFonts w:hint="eastAsia" w:ascii="仿宋" w:hAnsi="仿宋" w:eastAsia="仿宋" w:cs="仿宋"/>
          <w:color w:val="auto"/>
          <w:spacing w:val="-6"/>
          <w:sz w:val="36"/>
          <w:szCs w:val="36"/>
          <w:highlight w:val="none"/>
          <w14:textOutline w14:w="5103" w14:cap="sq" w14:cmpd="sng">
            <w14:solidFill>
              <w14:srgbClr w14:val="000000"/>
            </w14:solidFill>
            <w14:prstDash w14:val="solid"/>
            <w14:bevel/>
          </w14:textOutline>
        </w:rPr>
        <w:t>三</w:t>
      </w:r>
      <w:r>
        <w:rPr>
          <w:rFonts w:hint="eastAsia" w:ascii="仿宋" w:hAnsi="仿宋" w:eastAsia="仿宋" w:cs="仿宋"/>
          <w:color w:val="auto"/>
          <w:spacing w:val="28"/>
          <w:sz w:val="36"/>
          <w:szCs w:val="36"/>
          <w:highlight w:val="none"/>
        </w:rPr>
        <w:t xml:space="preserve"> </w:t>
      </w:r>
      <w:r>
        <w:rPr>
          <w:rFonts w:hint="eastAsia" w:ascii="仿宋" w:hAnsi="仿宋" w:eastAsia="仿宋" w:cs="仿宋"/>
          <w:color w:val="auto"/>
          <w:spacing w:val="-6"/>
          <w:sz w:val="36"/>
          <w:szCs w:val="36"/>
          <w:highlight w:val="none"/>
          <w14:textOutline w14:w="5103" w14:cap="sq" w14:cmpd="sng">
            <w14:solidFill>
              <w14:srgbClr w14:val="000000"/>
            </w14:solidFill>
            <w14:prstDash w14:val="solid"/>
            <w14:bevel/>
          </w14:textOutline>
        </w:rPr>
        <w:t>响应文件的编制</w:t>
      </w:r>
    </w:p>
    <w:p w14:paraId="40C6B529">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8.征集范围及响应文件中标准和计量单位的使用</w:t>
      </w:r>
    </w:p>
    <w:p w14:paraId="57CA208E">
      <w:pPr>
        <w:keepNext w:val="0"/>
        <w:keepLines w:val="0"/>
        <w:pageBreakBefore w:val="0"/>
        <w:widowControl/>
        <w:kinsoku w:val="0"/>
        <w:wordWrap/>
        <w:overflowPunct/>
        <w:topLinePunct w:val="0"/>
        <w:autoSpaceDE w:val="0"/>
        <w:autoSpaceDN w:val="0"/>
        <w:bidi w:val="0"/>
        <w:adjustRightInd w:val="0"/>
        <w:snapToGrid w:val="0"/>
        <w:spacing w:before="46" w:line="360" w:lineRule="auto"/>
        <w:ind w:left="38"/>
        <w:jc w:val="both"/>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1"/>
          <w:sz w:val="24"/>
          <w:szCs w:val="24"/>
          <w:highlight w:val="none"/>
        </w:rPr>
        <w:t>8.1供应商可对征集文件中一个或几个分包进行响应，除非在</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2"/>
          <w:sz w:val="24"/>
          <w:szCs w:val="24"/>
          <w:highlight w:val="none"/>
        </w:rPr>
        <w:t>中另有规定。</w:t>
      </w:r>
    </w:p>
    <w:p w14:paraId="182997B1">
      <w:pPr>
        <w:keepNext w:val="0"/>
        <w:keepLines w:val="0"/>
        <w:pageBreakBefore w:val="0"/>
        <w:widowControl/>
        <w:kinsoku w:val="0"/>
        <w:wordWrap/>
        <w:overflowPunct/>
        <w:topLinePunct w:val="0"/>
        <w:autoSpaceDE w:val="0"/>
        <w:autoSpaceDN w:val="0"/>
        <w:bidi w:val="0"/>
        <w:adjustRightInd w:val="0"/>
        <w:snapToGrid w:val="0"/>
        <w:spacing w:before="46" w:line="360" w:lineRule="auto"/>
        <w:ind w:left="38"/>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8.2供应商应当对所投分包征集文件中“采购需求”所列</w:t>
      </w:r>
      <w:r>
        <w:rPr>
          <w:rFonts w:hint="eastAsia" w:ascii="仿宋" w:hAnsi="仿宋" w:eastAsia="仿宋" w:cs="仿宋"/>
          <w:color w:val="auto"/>
          <w:spacing w:val="-2"/>
          <w:sz w:val="24"/>
          <w:szCs w:val="24"/>
          <w:highlight w:val="none"/>
        </w:rPr>
        <w:t>的所有内容进行响应，如仅响应分</w:t>
      </w:r>
      <w:r>
        <w:rPr>
          <w:rFonts w:hint="eastAsia" w:ascii="仿宋" w:hAnsi="仿宋" w:eastAsia="仿宋" w:cs="仿宋"/>
          <w:color w:val="auto"/>
          <w:spacing w:val="-1"/>
          <w:sz w:val="24"/>
          <w:szCs w:val="24"/>
          <w:highlight w:val="none"/>
        </w:rPr>
        <w:t>包中的部分内容，其响应文件将被认定为无效。</w:t>
      </w:r>
    </w:p>
    <w:p w14:paraId="2BA0460D">
      <w:pPr>
        <w:keepNext w:val="0"/>
        <w:keepLines w:val="0"/>
        <w:pageBreakBefore w:val="0"/>
        <w:widowControl/>
        <w:kinsoku w:val="0"/>
        <w:wordWrap/>
        <w:overflowPunct/>
        <w:topLinePunct w:val="0"/>
        <w:autoSpaceDE w:val="0"/>
        <w:autoSpaceDN w:val="0"/>
        <w:bidi w:val="0"/>
        <w:adjustRightInd w:val="0"/>
        <w:snapToGrid w:val="0"/>
        <w:spacing w:before="24" w:line="360" w:lineRule="auto"/>
        <w:ind w:left="43" w:right="203" w:hanging="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8.3无论征集文件中是否要求，供应商所投服务及其伴随的货物和</w:t>
      </w:r>
      <w:r>
        <w:rPr>
          <w:rFonts w:hint="eastAsia" w:ascii="仿宋" w:hAnsi="仿宋" w:eastAsia="仿宋" w:cs="仿宋"/>
          <w:color w:val="auto"/>
          <w:spacing w:val="-1"/>
          <w:sz w:val="24"/>
          <w:szCs w:val="24"/>
          <w:highlight w:val="none"/>
        </w:rPr>
        <w:t>工程均应符合国家强制性</w:t>
      </w:r>
      <w:r>
        <w:rPr>
          <w:rFonts w:hint="eastAsia" w:ascii="仿宋" w:hAnsi="仿宋" w:eastAsia="仿宋" w:cs="仿宋"/>
          <w:color w:val="auto"/>
          <w:spacing w:val="-6"/>
          <w:sz w:val="24"/>
          <w:szCs w:val="24"/>
          <w:highlight w:val="none"/>
        </w:rPr>
        <w:t>标准。</w:t>
      </w:r>
    </w:p>
    <w:p w14:paraId="1CF95445">
      <w:pPr>
        <w:keepNext w:val="0"/>
        <w:keepLines w:val="0"/>
        <w:pageBreakBefore w:val="0"/>
        <w:widowControl/>
        <w:kinsoku w:val="0"/>
        <w:wordWrap/>
        <w:overflowPunct/>
        <w:topLinePunct w:val="0"/>
        <w:autoSpaceDE w:val="0"/>
        <w:autoSpaceDN w:val="0"/>
        <w:bidi w:val="0"/>
        <w:adjustRightInd w:val="0"/>
        <w:snapToGrid w:val="0"/>
        <w:spacing w:before="22" w:line="360" w:lineRule="auto"/>
        <w:ind w:left="49" w:right="203" w:hanging="11"/>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8.4除征集文件中有特殊要求外，响应文件中所使用的计量单位，</w:t>
      </w:r>
      <w:r>
        <w:rPr>
          <w:rFonts w:hint="eastAsia" w:ascii="仿宋" w:hAnsi="仿宋" w:eastAsia="仿宋" w:cs="仿宋"/>
          <w:color w:val="auto"/>
          <w:spacing w:val="-1"/>
          <w:sz w:val="24"/>
          <w:szCs w:val="24"/>
          <w:highlight w:val="none"/>
        </w:rPr>
        <w:t>应采用中华人民共和国法</w:t>
      </w:r>
      <w:r>
        <w:rPr>
          <w:rFonts w:hint="eastAsia" w:ascii="仿宋" w:hAnsi="仿宋" w:eastAsia="仿宋" w:cs="仿宋"/>
          <w:color w:val="auto"/>
          <w:spacing w:val="-4"/>
          <w:sz w:val="24"/>
          <w:szCs w:val="24"/>
          <w:highlight w:val="none"/>
        </w:rPr>
        <w:t>定计量单位。</w:t>
      </w:r>
    </w:p>
    <w:p w14:paraId="7A5F2DDA">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9.响应文件组成</w:t>
      </w:r>
    </w:p>
    <w:p w14:paraId="26A1B727">
      <w:pPr>
        <w:keepNext w:val="0"/>
        <w:keepLines w:val="0"/>
        <w:pageBreakBefore w:val="0"/>
        <w:widowControl/>
        <w:kinsoku w:val="0"/>
        <w:wordWrap/>
        <w:overflowPunct/>
        <w:topLinePunct w:val="0"/>
        <w:autoSpaceDE w:val="0"/>
        <w:autoSpaceDN w:val="0"/>
        <w:bidi w:val="0"/>
        <w:adjustRightInd w:val="0"/>
        <w:snapToGrid w:val="0"/>
        <w:spacing w:before="48" w:line="360" w:lineRule="auto"/>
        <w:ind w:left="29" w:right="185" w:hanging="8"/>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2"/>
          <w:sz w:val="24"/>
          <w:szCs w:val="24"/>
          <w:highlight w:val="none"/>
        </w:rPr>
        <w:t>9.1响应文件由“第一部分资格证明材料”和“第二部分商务技术部分”组成。供应商应完</w:t>
      </w:r>
      <w:r>
        <w:rPr>
          <w:rFonts w:hint="eastAsia" w:ascii="仿宋" w:hAnsi="仿宋" w:eastAsia="仿宋" w:cs="仿宋"/>
          <w:color w:val="auto"/>
          <w:sz w:val="24"/>
          <w:szCs w:val="24"/>
          <w:highlight w:val="none"/>
        </w:rPr>
        <w:t>整地按照征集文件提供的响应文件格式及要求编写响</w:t>
      </w:r>
      <w:r>
        <w:rPr>
          <w:rFonts w:hint="eastAsia" w:ascii="仿宋" w:hAnsi="仿宋" w:eastAsia="仿宋" w:cs="仿宋"/>
          <w:color w:val="auto"/>
          <w:spacing w:val="-1"/>
          <w:sz w:val="24"/>
          <w:szCs w:val="24"/>
          <w:highlight w:val="none"/>
        </w:rPr>
        <w:t>应文件。响应文件中资格审查和符合性审查涉及的事项不满足征集文件要求的，其响应文件将被认定为无效。</w:t>
      </w:r>
    </w:p>
    <w:p w14:paraId="2DF50324">
      <w:pPr>
        <w:keepNext w:val="0"/>
        <w:keepLines w:val="0"/>
        <w:pageBreakBefore w:val="0"/>
        <w:widowControl/>
        <w:kinsoku w:val="0"/>
        <w:wordWrap/>
        <w:overflowPunct/>
        <w:topLinePunct w:val="0"/>
        <w:autoSpaceDE w:val="0"/>
        <w:autoSpaceDN w:val="0"/>
        <w:bidi w:val="0"/>
        <w:adjustRightInd w:val="0"/>
        <w:snapToGrid w:val="0"/>
        <w:spacing w:before="48" w:line="360" w:lineRule="auto"/>
        <w:ind w:left="29" w:right="185" w:hanging="8"/>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上述文件应按照征集文件的规定签署和盖公章或经公章授权的</w:t>
      </w:r>
      <w:r>
        <w:rPr>
          <w:rFonts w:hint="eastAsia" w:ascii="仿宋" w:hAnsi="仿宋" w:eastAsia="仿宋" w:cs="仿宋"/>
          <w:color w:val="auto"/>
          <w:spacing w:val="-1"/>
          <w:sz w:val="24"/>
          <w:szCs w:val="24"/>
          <w:highlight w:val="none"/>
        </w:rPr>
        <w:t>其他单位章（以下统称公章）。采用公章授权方式的，应当在响应文件第一部分附公章授权书（格式自定）。</w:t>
      </w:r>
    </w:p>
    <w:p w14:paraId="095C7A01">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10.证明征集活动标的的合格性和符合征集文件规定的响应文件</w:t>
      </w:r>
    </w:p>
    <w:p w14:paraId="2FB8BAA4">
      <w:pPr>
        <w:keepNext w:val="0"/>
        <w:keepLines w:val="0"/>
        <w:pageBreakBefore w:val="0"/>
        <w:widowControl/>
        <w:kinsoku w:val="0"/>
        <w:wordWrap/>
        <w:overflowPunct/>
        <w:topLinePunct w:val="0"/>
        <w:autoSpaceDE w:val="0"/>
        <w:autoSpaceDN w:val="0"/>
        <w:bidi w:val="0"/>
        <w:adjustRightInd w:val="0"/>
        <w:snapToGrid w:val="0"/>
        <w:spacing w:before="44" w:line="360" w:lineRule="auto"/>
        <w:ind w:left="27" w:right="185" w:firstLine="1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10.1供应商应提交证明文件，证明其标的符合征集文件规定。该证明文件是响应文件的技术</w:t>
      </w:r>
      <w:r>
        <w:rPr>
          <w:rFonts w:hint="eastAsia" w:ascii="仿宋" w:hAnsi="仿宋" w:eastAsia="仿宋" w:cs="仿宋"/>
          <w:color w:val="auto"/>
          <w:spacing w:val="-6"/>
          <w:sz w:val="24"/>
          <w:szCs w:val="24"/>
          <w:highlight w:val="none"/>
        </w:rPr>
        <w:t>文件。</w:t>
      </w:r>
    </w:p>
    <w:p w14:paraId="22EE7F72">
      <w:pPr>
        <w:keepNext w:val="0"/>
        <w:keepLines w:val="0"/>
        <w:pageBreakBefore w:val="0"/>
        <w:widowControl/>
        <w:kinsoku w:val="0"/>
        <w:wordWrap/>
        <w:overflowPunct/>
        <w:topLinePunct w:val="0"/>
        <w:autoSpaceDE w:val="0"/>
        <w:autoSpaceDN w:val="0"/>
        <w:bidi w:val="0"/>
        <w:adjustRightInd w:val="0"/>
        <w:snapToGrid w:val="0"/>
        <w:spacing w:before="20"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10.2上款所述的证明文件，可以是文字资料、图纸和数据，包括：</w:t>
      </w:r>
    </w:p>
    <w:p w14:paraId="5E456D84">
      <w:pPr>
        <w:keepNext w:val="0"/>
        <w:keepLines w:val="0"/>
        <w:pageBreakBefore w:val="0"/>
        <w:widowControl/>
        <w:kinsoku w:val="0"/>
        <w:wordWrap/>
        <w:overflowPunct/>
        <w:topLinePunct w:val="0"/>
        <w:autoSpaceDE w:val="0"/>
        <w:autoSpaceDN w:val="0"/>
        <w:bidi w:val="0"/>
        <w:adjustRightInd w:val="0"/>
        <w:snapToGrid w:val="0"/>
        <w:spacing w:before="26" w:line="360" w:lineRule="auto"/>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10.2.1 主要技术指标和性能的详细说明及实现的功能或者目标；</w:t>
      </w:r>
    </w:p>
    <w:p w14:paraId="09AF6ADF">
      <w:pPr>
        <w:keepNext w:val="0"/>
        <w:keepLines w:val="0"/>
        <w:pageBreakBefore w:val="0"/>
        <w:widowControl/>
        <w:kinsoku w:val="0"/>
        <w:wordWrap/>
        <w:overflowPunct/>
        <w:topLinePunct w:val="0"/>
        <w:autoSpaceDE w:val="0"/>
        <w:autoSpaceDN w:val="0"/>
        <w:bidi w:val="0"/>
        <w:adjustRightInd w:val="0"/>
        <w:snapToGrid w:val="0"/>
        <w:spacing w:before="24" w:line="360" w:lineRule="auto"/>
        <w:ind w:right="15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10.2.2 从买方开始使用至征集文件规定的保质期内正常、连续地使用所必须的备件和专用工具清单，包括备件和专用工具的货源及现行价格；</w:t>
      </w:r>
    </w:p>
    <w:p w14:paraId="560EF34B">
      <w:pPr>
        <w:keepNext w:val="0"/>
        <w:keepLines w:val="0"/>
        <w:pageBreakBefore w:val="0"/>
        <w:widowControl/>
        <w:kinsoku w:val="0"/>
        <w:wordWrap/>
        <w:overflowPunct/>
        <w:topLinePunct w:val="0"/>
        <w:autoSpaceDE w:val="0"/>
        <w:autoSpaceDN w:val="0"/>
        <w:bidi w:val="0"/>
        <w:adjustRightInd w:val="0"/>
        <w:snapToGrid w:val="0"/>
        <w:spacing w:before="25" w:line="360" w:lineRule="auto"/>
        <w:ind w:right="15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10.2.3 对照征集文件技术规格，逐条说明所提供货物及伴随的工程和服务已对征集文件的技术规格做出了实质性的响应，或申明与技术规格条文的偏差和例外。</w:t>
      </w:r>
    </w:p>
    <w:p w14:paraId="5D42CDA4">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 w:right="185" w:firstLine="1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10.3供应商应注意采购人在技术规格中指出的工艺、材料和设备的参照品牌型号仅起说明作</w:t>
      </w:r>
      <w:r>
        <w:rPr>
          <w:rFonts w:hint="eastAsia" w:ascii="仿宋" w:hAnsi="仿宋" w:eastAsia="仿宋" w:cs="仿宋"/>
          <w:color w:val="auto"/>
          <w:sz w:val="24"/>
          <w:szCs w:val="24"/>
          <w:highlight w:val="none"/>
        </w:rPr>
        <w:t>用，并没有任何倾向性或限制性。采购人、征集人承</w:t>
      </w:r>
      <w:r>
        <w:rPr>
          <w:rFonts w:hint="eastAsia" w:ascii="仿宋" w:hAnsi="仿宋" w:eastAsia="仿宋" w:cs="仿宋"/>
          <w:color w:val="auto"/>
          <w:spacing w:val="-1"/>
          <w:sz w:val="24"/>
          <w:szCs w:val="24"/>
          <w:highlight w:val="none"/>
        </w:rPr>
        <w:t>诺不以上述参照品牌型号作为评标时判</w:t>
      </w:r>
      <w:r>
        <w:rPr>
          <w:rFonts w:hint="eastAsia" w:ascii="仿宋" w:hAnsi="仿宋" w:eastAsia="仿宋" w:cs="仿宋"/>
          <w:color w:val="auto"/>
          <w:sz w:val="24"/>
          <w:szCs w:val="24"/>
          <w:highlight w:val="none"/>
        </w:rPr>
        <w:t>定其响应文件是否有效的标准。任何品牌的供</w:t>
      </w:r>
      <w:r>
        <w:rPr>
          <w:rFonts w:hint="eastAsia" w:ascii="仿宋" w:hAnsi="仿宋" w:eastAsia="仿宋" w:cs="仿宋"/>
          <w:color w:val="auto"/>
          <w:spacing w:val="-1"/>
          <w:sz w:val="24"/>
          <w:szCs w:val="24"/>
          <w:highlight w:val="none"/>
        </w:rPr>
        <w:t>应商均可依法参加本项目的征集活动。</w:t>
      </w:r>
    </w:p>
    <w:p w14:paraId="5F280873">
      <w:pPr>
        <w:keepNext w:val="0"/>
        <w:keepLines w:val="0"/>
        <w:pageBreakBefore w:val="0"/>
        <w:widowControl/>
        <w:kinsoku w:val="0"/>
        <w:wordWrap/>
        <w:overflowPunct/>
        <w:topLinePunct w:val="0"/>
        <w:autoSpaceDE w:val="0"/>
        <w:autoSpaceDN w:val="0"/>
        <w:bidi w:val="0"/>
        <w:adjustRightInd w:val="0"/>
        <w:snapToGrid w:val="0"/>
        <w:spacing w:before="21"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10.4本条所指证明文件不包括对征集文件相关部分的文字、图标的复制。</w:t>
      </w:r>
    </w:p>
    <w:p w14:paraId="208E56CF">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11.征集响应报价</w:t>
      </w:r>
    </w:p>
    <w:p w14:paraId="3115D92F">
      <w:pPr>
        <w:keepNext w:val="0"/>
        <w:keepLines w:val="0"/>
        <w:pageBreakBefore w:val="0"/>
        <w:widowControl/>
        <w:kinsoku w:val="0"/>
        <w:wordWrap/>
        <w:overflowPunct/>
        <w:topLinePunct w:val="0"/>
        <w:autoSpaceDE w:val="0"/>
        <w:autoSpaceDN w:val="0"/>
        <w:bidi w:val="0"/>
        <w:adjustRightInd w:val="0"/>
        <w:snapToGrid w:val="0"/>
        <w:spacing w:before="43" w:line="360" w:lineRule="auto"/>
        <w:ind w:left="30" w:right="185" w:firstLine="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11.1供应商的报价应当包括满足本次征集全部采购需求所应提供的服务，以及伴随的货物和</w:t>
      </w:r>
      <w:r>
        <w:rPr>
          <w:rFonts w:hint="eastAsia" w:ascii="仿宋" w:hAnsi="仿宋" w:eastAsia="仿宋" w:cs="仿宋"/>
          <w:color w:val="auto"/>
          <w:sz w:val="24"/>
          <w:szCs w:val="24"/>
          <w:highlight w:val="none"/>
        </w:rPr>
        <w:t>工程。所有征集响应均应以人民币</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报价，供应</w:t>
      </w:r>
      <w:r>
        <w:rPr>
          <w:rFonts w:hint="eastAsia" w:ascii="仿宋" w:hAnsi="仿宋" w:eastAsia="仿宋" w:cs="仿宋"/>
          <w:color w:val="auto"/>
          <w:spacing w:val="-1"/>
          <w:sz w:val="24"/>
          <w:szCs w:val="24"/>
          <w:highlight w:val="none"/>
        </w:rPr>
        <w:t>商的报价应遵守《中华人民共和国价格法》。</w:t>
      </w:r>
      <w:r>
        <w:rPr>
          <w:rFonts w:hint="eastAsia" w:ascii="仿宋" w:hAnsi="仿宋" w:eastAsia="仿宋" w:cs="仿宋"/>
          <w:color w:val="auto"/>
          <w:sz w:val="24"/>
          <w:szCs w:val="24"/>
          <w:highlight w:val="none"/>
        </w:rPr>
        <w:t>11.2供应商应在分项报价表上标明分项服务、</w:t>
      </w:r>
      <w:r>
        <w:rPr>
          <w:rFonts w:hint="eastAsia" w:ascii="仿宋" w:hAnsi="仿宋" w:eastAsia="仿宋" w:cs="仿宋"/>
          <w:color w:val="auto"/>
          <w:spacing w:val="-1"/>
          <w:sz w:val="24"/>
          <w:szCs w:val="24"/>
          <w:highlight w:val="none"/>
        </w:rPr>
        <w:t>伴随的货物和工程的价格（如适用）和总价，</w:t>
      </w:r>
      <w:r>
        <w:rPr>
          <w:rFonts w:hint="eastAsia" w:ascii="仿宋" w:hAnsi="仿宋" w:eastAsia="仿宋" w:cs="仿宋"/>
          <w:color w:val="auto"/>
          <w:spacing w:val="-2"/>
          <w:sz w:val="24"/>
          <w:szCs w:val="24"/>
          <w:highlight w:val="none"/>
        </w:rPr>
        <w:t>并由法定代表人或委托代理人签署。</w:t>
      </w:r>
    </w:p>
    <w:p w14:paraId="100AF123">
      <w:pPr>
        <w:keepNext w:val="0"/>
        <w:keepLines w:val="0"/>
        <w:pageBreakBefore w:val="0"/>
        <w:widowControl/>
        <w:kinsoku w:val="0"/>
        <w:wordWrap/>
        <w:overflowPunct/>
        <w:topLinePunct w:val="0"/>
        <w:autoSpaceDE w:val="0"/>
        <w:autoSpaceDN w:val="0"/>
        <w:bidi w:val="0"/>
        <w:adjustRightInd w:val="0"/>
        <w:snapToGrid w:val="0"/>
        <w:spacing w:before="25"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11.3征集人不接受具有附加条件的报价或多个方案的报价。</w:t>
      </w:r>
    </w:p>
    <w:p w14:paraId="19FFF991">
      <w:pPr>
        <w:keepNext w:val="0"/>
        <w:keepLines w:val="0"/>
        <w:pageBreakBefore w:val="0"/>
        <w:widowControl/>
        <w:kinsoku w:val="0"/>
        <w:wordWrap/>
        <w:overflowPunct/>
        <w:topLinePunct w:val="0"/>
        <w:autoSpaceDE w:val="0"/>
        <w:autoSpaceDN w:val="0"/>
        <w:bidi w:val="0"/>
        <w:adjustRightInd w:val="0"/>
        <w:snapToGrid w:val="0"/>
        <w:spacing w:before="21" w:line="360" w:lineRule="auto"/>
        <w:ind w:left="27" w:right="222" w:firstLine="1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11.4供应商所报的各分项报价在合同履</w:t>
      </w:r>
      <w:r>
        <w:rPr>
          <w:rFonts w:hint="eastAsia" w:ascii="仿宋" w:hAnsi="仿宋" w:eastAsia="仿宋" w:cs="仿宋"/>
          <w:color w:val="auto"/>
          <w:spacing w:val="-2"/>
          <w:sz w:val="24"/>
          <w:szCs w:val="24"/>
          <w:highlight w:val="none"/>
        </w:rPr>
        <w:t>行过程中是固定不变的，不得以任何理由予以变更。</w:t>
      </w:r>
      <w:r>
        <w:rPr>
          <w:rFonts w:hint="eastAsia" w:ascii="仿宋" w:hAnsi="仿宋" w:eastAsia="仿宋" w:cs="仿宋"/>
          <w:color w:val="auto"/>
          <w:spacing w:val="-1"/>
          <w:sz w:val="24"/>
          <w:szCs w:val="24"/>
          <w:highlight w:val="none"/>
        </w:rPr>
        <w:t>任何包含价格调整要求的响应文件，将被认定为无效。</w:t>
      </w:r>
    </w:p>
    <w:p w14:paraId="5EDDE553">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12.保证金</w:t>
      </w:r>
    </w:p>
    <w:p w14:paraId="349C9ED6">
      <w:pPr>
        <w:keepNext w:val="0"/>
        <w:keepLines w:val="0"/>
        <w:pageBreakBefore w:val="0"/>
        <w:widowControl/>
        <w:kinsoku w:val="0"/>
        <w:wordWrap/>
        <w:overflowPunct/>
        <w:topLinePunct w:val="0"/>
        <w:autoSpaceDE w:val="0"/>
        <w:autoSpaceDN w:val="0"/>
        <w:bidi w:val="0"/>
        <w:adjustRightInd w:val="0"/>
        <w:snapToGrid w:val="0"/>
        <w:spacing w:before="46" w:line="360" w:lineRule="auto"/>
        <w:ind w:left="38" w:right="94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12.1供应商应提交</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2"/>
          <w:sz w:val="24"/>
          <w:szCs w:val="24"/>
          <w:highlight w:val="none"/>
        </w:rPr>
        <w:t>中规定的保证金，并作为其响应文件的一部分。12.2供应商存在下列情形的，保证金不予退还：</w:t>
      </w:r>
    </w:p>
    <w:p w14:paraId="0430FFFC">
      <w:pPr>
        <w:keepNext w:val="0"/>
        <w:keepLines w:val="0"/>
        <w:pageBreakBefore w:val="0"/>
        <w:widowControl/>
        <w:kinsoku w:val="0"/>
        <w:wordWrap/>
        <w:overflowPunct/>
        <w:topLinePunct w:val="0"/>
        <w:autoSpaceDE w:val="0"/>
        <w:autoSpaceDN w:val="0"/>
        <w:bidi w:val="0"/>
        <w:adjustRightInd w:val="0"/>
        <w:snapToGrid w:val="0"/>
        <w:spacing w:before="27" w:line="360" w:lineRule="auto"/>
        <w:ind w:left="42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（1）在征集响应有效期内，撤销响应文件的；</w:t>
      </w:r>
    </w:p>
    <w:p w14:paraId="13D1761F">
      <w:pPr>
        <w:keepNext w:val="0"/>
        <w:keepLines w:val="0"/>
        <w:pageBreakBefore w:val="0"/>
        <w:widowControl/>
        <w:kinsoku w:val="0"/>
        <w:wordWrap/>
        <w:overflowPunct/>
        <w:topLinePunct w:val="0"/>
        <w:autoSpaceDE w:val="0"/>
        <w:autoSpaceDN w:val="0"/>
        <w:bidi w:val="0"/>
        <w:adjustRightInd w:val="0"/>
        <w:snapToGrid w:val="0"/>
        <w:spacing w:before="27" w:line="360" w:lineRule="auto"/>
        <w:ind w:left="42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（2）入围后不按本须知第30条的规定与征集人签订框架协议的；</w:t>
      </w:r>
    </w:p>
    <w:p w14:paraId="78A22508">
      <w:pPr>
        <w:keepNext w:val="0"/>
        <w:keepLines w:val="0"/>
        <w:pageBreakBefore w:val="0"/>
        <w:widowControl/>
        <w:kinsoku w:val="0"/>
        <w:wordWrap/>
        <w:overflowPunct/>
        <w:topLinePunct w:val="0"/>
        <w:autoSpaceDE w:val="0"/>
        <w:autoSpaceDN w:val="0"/>
        <w:bidi w:val="0"/>
        <w:adjustRightInd w:val="0"/>
        <w:snapToGrid w:val="0"/>
        <w:spacing w:before="1" w:line="360" w:lineRule="auto"/>
        <w:ind w:left="42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（3）入围后不按本须知第31条的规定提交履约保证金的；</w:t>
      </w:r>
    </w:p>
    <w:p w14:paraId="0336D188">
      <w:pPr>
        <w:keepNext w:val="0"/>
        <w:keepLines w:val="0"/>
        <w:pageBreakBefore w:val="0"/>
        <w:widowControl/>
        <w:kinsoku w:val="0"/>
        <w:wordWrap/>
        <w:overflowPunct/>
        <w:topLinePunct w:val="0"/>
        <w:autoSpaceDE w:val="0"/>
        <w:autoSpaceDN w:val="0"/>
        <w:bidi w:val="0"/>
        <w:adjustRightInd w:val="0"/>
        <w:snapToGrid w:val="0"/>
        <w:spacing w:before="22" w:line="360" w:lineRule="auto"/>
        <w:ind w:left="42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（4）入围后不按本须知第33条的规定缴纳服务费的；</w:t>
      </w:r>
    </w:p>
    <w:p w14:paraId="09828101">
      <w:pPr>
        <w:keepNext w:val="0"/>
        <w:keepLines w:val="0"/>
        <w:pageBreakBefore w:val="0"/>
        <w:widowControl/>
        <w:kinsoku w:val="0"/>
        <w:wordWrap/>
        <w:overflowPunct/>
        <w:topLinePunct w:val="0"/>
        <w:autoSpaceDE w:val="0"/>
        <w:autoSpaceDN w:val="0"/>
        <w:bidi w:val="0"/>
        <w:adjustRightInd w:val="0"/>
        <w:snapToGrid w:val="0"/>
        <w:spacing w:before="1" w:line="360" w:lineRule="auto"/>
        <w:ind w:left="42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（5）存在其他违法违规行为的。</w:t>
      </w:r>
    </w:p>
    <w:p w14:paraId="5C17CCF6">
      <w:pPr>
        <w:keepNext w:val="0"/>
        <w:keepLines w:val="0"/>
        <w:pageBreakBefore w:val="0"/>
        <w:widowControl/>
        <w:kinsoku w:val="0"/>
        <w:wordWrap/>
        <w:overflowPunct/>
        <w:topLinePunct w:val="0"/>
        <w:autoSpaceDE w:val="0"/>
        <w:autoSpaceDN w:val="0"/>
        <w:bidi w:val="0"/>
        <w:adjustRightInd w:val="0"/>
        <w:snapToGrid w:val="0"/>
        <w:spacing w:before="24"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12.3供应商未按本须知第12.1条规定提交保证金的，其响应文件将被认定为无效。</w:t>
      </w:r>
    </w:p>
    <w:p w14:paraId="26359BC3">
      <w:pPr>
        <w:keepNext w:val="0"/>
        <w:keepLines w:val="0"/>
        <w:pageBreakBefore w:val="0"/>
        <w:widowControl/>
        <w:kinsoku w:val="0"/>
        <w:wordWrap/>
        <w:overflowPunct/>
        <w:topLinePunct w:val="0"/>
        <w:autoSpaceDE w:val="0"/>
        <w:autoSpaceDN w:val="0"/>
        <w:bidi w:val="0"/>
        <w:adjustRightInd w:val="0"/>
        <w:snapToGrid w:val="0"/>
        <w:spacing w:before="25" w:line="360" w:lineRule="auto"/>
        <w:ind w:left="29" w:firstLine="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12.4联合体参加的，可以由联合体中的一方或者共同提交保证金。以一方名义提交保证金的，对联合体各方均具有约束力。</w:t>
      </w:r>
    </w:p>
    <w:p w14:paraId="5CC6D42D">
      <w:pPr>
        <w:keepNext w:val="0"/>
        <w:keepLines w:val="0"/>
        <w:pageBreakBefore w:val="0"/>
        <w:widowControl/>
        <w:kinsoku w:val="0"/>
        <w:wordWrap/>
        <w:overflowPunct/>
        <w:topLinePunct w:val="0"/>
        <w:autoSpaceDE w:val="0"/>
        <w:autoSpaceDN w:val="0"/>
        <w:bidi w:val="0"/>
        <w:adjustRightInd w:val="0"/>
        <w:snapToGrid w:val="0"/>
        <w:spacing w:before="26"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12.5保证金的退还</w:t>
      </w:r>
    </w:p>
    <w:p w14:paraId="1F802FF8">
      <w:pPr>
        <w:keepNext w:val="0"/>
        <w:keepLines w:val="0"/>
        <w:pageBreakBefore w:val="0"/>
        <w:widowControl/>
        <w:kinsoku w:val="0"/>
        <w:wordWrap/>
        <w:overflowPunct/>
        <w:topLinePunct w:val="0"/>
        <w:autoSpaceDE w:val="0"/>
        <w:autoSpaceDN w:val="0"/>
        <w:bidi w:val="0"/>
        <w:adjustRightInd w:val="0"/>
        <w:snapToGrid w:val="0"/>
        <w:spacing w:before="23" w:line="360" w:lineRule="auto"/>
        <w:ind w:left="27" w:right="151" w:firstLine="4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12.5.1入围供应商应在与征集人签订框架协议之日起5个工作日内，及时联系保证金收受</w:t>
      </w:r>
      <w:r>
        <w:rPr>
          <w:rFonts w:hint="eastAsia" w:ascii="仿宋" w:hAnsi="仿宋" w:eastAsia="仿宋" w:cs="仿宋"/>
          <w:color w:val="auto"/>
          <w:spacing w:val="-2"/>
          <w:sz w:val="24"/>
          <w:szCs w:val="24"/>
          <w:highlight w:val="none"/>
        </w:rPr>
        <w:t>机构办理保证金无息退还手续。</w:t>
      </w:r>
    </w:p>
    <w:p w14:paraId="2416482F">
      <w:pPr>
        <w:keepNext w:val="0"/>
        <w:keepLines w:val="0"/>
        <w:pageBreakBefore w:val="0"/>
        <w:widowControl/>
        <w:kinsoku w:val="0"/>
        <w:wordWrap/>
        <w:overflowPunct/>
        <w:topLinePunct w:val="0"/>
        <w:autoSpaceDE w:val="0"/>
        <w:autoSpaceDN w:val="0"/>
        <w:bidi w:val="0"/>
        <w:adjustRightInd w:val="0"/>
        <w:snapToGrid w:val="0"/>
        <w:spacing w:before="26" w:line="360" w:lineRule="auto"/>
        <w:ind w:left="31" w:right="151" w:firstLine="4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12.5.2未入围供应商的保证金将在入围通知书发出之日暨入围结果公告公布之日起5个工作日内无息退还。供应商应及时联系保证金收受机构办理退还保证金手续。</w:t>
      </w:r>
    </w:p>
    <w:p w14:paraId="6F58B5C6">
      <w:pPr>
        <w:keepNext w:val="0"/>
        <w:keepLines w:val="0"/>
        <w:pageBreakBefore w:val="0"/>
        <w:widowControl/>
        <w:kinsoku w:val="0"/>
        <w:wordWrap/>
        <w:overflowPunct/>
        <w:topLinePunct w:val="0"/>
        <w:autoSpaceDE w:val="0"/>
        <w:autoSpaceDN w:val="0"/>
        <w:bidi w:val="0"/>
        <w:adjustRightInd w:val="0"/>
        <w:snapToGrid w:val="0"/>
        <w:spacing w:before="25"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12.6因供应商自身原因导致无法及时退还的，征集人将不承担相应责任。</w:t>
      </w:r>
    </w:p>
    <w:p w14:paraId="729684BA">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13.响应文件有效期</w:t>
      </w:r>
    </w:p>
    <w:p w14:paraId="4DFEEEE6">
      <w:pPr>
        <w:keepNext w:val="0"/>
        <w:keepLines w:val="0"/>
        <w:pageBreakBefore w:val="0"/>
        <w:widowControl/>
        <w:kinsoku w:val="0"/>
        <w:wordWrap/>
        <w:overflowPunct/>
        <w:topLinePunct w:val="0"/>
        <w:autoSpaceDE w:val="0"/>
        <w:autoSpaceDN w:val="0"/>
        <w:bidi w:val="0"/>
        <w:adjustRightInd w:val="0"/>
        <w:snapToGrid w:val="0"/>
        <w:spacing w:before="44"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13.1征集响应文件的有效期为开标之日起</w:t>
      </w:r>
      <w:r>
        <w:rPr>
          <w:rFonts w:hint="eastAsia" w:ascii="仿宋" w:hAnsi="仿宋" w:eastAsia="仿宋" w:cs="仿宋"/>
          <w:color w:val="auto"/>
          <w:spacing w:val="-2"/>
          <w:sz w:val="24"/>
          <w:szCs w:val="24"/>
          <w:highlight w:val="none"/>
        </w:rPr>
        <w:t>90天。</w:t>
      </w:r>
    </w:p>
    <w:p w14:paraId="58FAAF6D">
      <w:pPr>
        <w:keepNext w:val="0"/>
        <w:keepLines w:val="0"/>
        <w:pageBreakBefore w:val="0"/>
        <w:widowControl/>
        <w:kinsoku w:val="0"/>
        <w:wordWrap/>
        <w:overflowPunct/>
        <w:topLinePunct w:val="0"/>
        <w:autoSpaceDE w:val="0"/>
        <w:autoSpaceDN w:val="0"/>
        <w:bidi w:val="0"/>
        <w:adjustRightInd w:val="0"/>
        <w:snapToGrid w:val="0"/>
        <w:spacing w:before="22" w:line="360" w:lineRule="auto"/>
        <w:ind w:left="31" w:right="185" w:firstLine="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13.2在原定投标有效期满之前，如果出现特殊情况，经政府采购监督管理机构核准，采购人或代理机构可以跟供应商协商延长投标有效期。</w:t>
      </w:r>
    </w:p>
    <w:p w14:paraId="1E45CF37">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征集响应文件授权委托书期限不得少于投标有效期。</w:t>
      </w:r>
    </w:p>
    <w:p w14:paraId="06F5D3AB">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14.响应文件的制作</w:t>
      </w:r>
    </w:p>
    <w:p w14:paraId="3875D020">
      <w:pPr>
        <w:keepNext w:val="0"/>
        <w:keepLines w:val="0"/>
        <w:pageBreakBefore w:val="0"/>
        <w:widowControl/>
        <w:kinsoku w:val="0"/>
        <w:wordWrap/>
        <w:overflowPunct/>
        <w:topLinePunct w:val="0"/>
        <w:autoSpaceDE w:val="0"/>
        <w:autoSpaceDN w:val="0"/>
        <w:bidi w:val="0"/>
        <w:adjustRightInd w:val="0"/>
        <w:snapToGrid w:val="0"/>
        <w:spacing w:before="74"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14.1征集响应文件制作</w:t>
      </w:r>
    </w:p>
    <w:p w14:paraId="47FF22F2">
      <w:pPr>
        <w:keepNext w:val="0"/>
        <w:keepLines w:val="0"/>
        <w:pageBreakBefore w:val="0"/>
        <w:widowControl/>
        <w:kinsoku w:val="0"/>
        <w:wordWrap/>
        <w:overflowPunct/>
        <w:topLinePunct w:val="0"/>
        <w:autoSpaceDE w:val="0"/>
        <w:autoSpaceDN w:val="0"/>
        <w:bidi w:val="0"/>
        <w:adjustRightInd w:val="0"/>
        <w:snapToGrid w:val="0"/>
        <w:spacing w:before="55" w:line="360" w:lineRule="auto"/>
        <w:ind w:left="27" w:right="79" w:firstLine="52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1、本项目实行电子招投标响应，供应商须登录政采云平台申请获取采购文件，并需</w:t>
      </w:r>
      <w:r>
        <w:rPr>
          <w:rFonts w:hint="eastAsia" w:ascii="仿宋" w:hAnsi="仿宋" w:eastAsia="仿宋" w:cs="仿宋"/>
          <w:color w:val="auto"/>
          <w:spacing w:val="6"/>
          <w:sz w:val="24"/>
          <w:szCs w:val="24"/>
          <w:highlight w:val="none"/>
        </w:rPr>
        <w:t>要使用</w:t>
      </w:r>
      <w:r>
        <w:rPr>
          <w:rFonts w:hint="eastAsia" w:ascii="仿宋" w:hAnsi="仿宋" w:eastAsia="仿宋" w:cs="仿宋"/>
          <w:color w:val="auto"/>
          <w:sz w:val="24"/>
          <w:szCs w:val="24"/>
          <w:highlight w:val="none"/>
        </w:rPr>
        <w:t>CA</w:t>
      </w:r>
      <w:r>
        <w:rPr>
          <w:rFonts w:hint="eastAsia" w:ascii="仿宋" w:hAnsi="仿宋" w:eastAsia="仿宋" w:cs="仿宋"/>
          <w:color w:val="auto"/>
          <w:spacing w:val="6"/>
          <w:sz w:val="24"/>
          <w:szCs w:val="24"/>
          <w:highlight w:val="none"/>
        </w:rPr>
        <w:t>锁，登录政采云电子投标客户端制作响应文件，若供应商参与投标,自行</w:t>
      </w:r>
      <w:r>
        <w:rPr>
          <w:rFonts w:hint="eastAsia" w:ascii="仿宋" w:hAnsi="仿宋" w:eastAsia="仿宋" w:cs="仿宋"/>
          <w:color w:val="auto"/>
          <w:spacing w:val="5"/>
          <w:sz w:val="24"/>
          <w:szCs w:val="24"/>
          <w:highlight w:val="none"/>
        </w:rPr>
        <w:t>承担与</w:t>
      </w:r>
      <w:r>
        <w:rPr>
          <w:rFonts w:hint="eastAsia" w:ascii="仿宋" w:hAnsi="仿宋" w:eastAsia="仿宋" w:cs="仿宋"/>
          <w:color w:val="auto"/>
          <w:spacing w:val="4"/>
          <w:sz w:val="24"/>
          <w:szCs w:val="24"/>
          <w:highlight w:val="none"/>
        </w:rPr>
        <w:t>投标有关的一切费用。</w:t>
      </w:r>
    </w:p>
    <w:p w14:paraId="6C393EFD">
      <w:pPr>
        <w:keepNext w:val="0"/>
        <w:keepLines w:val="0"/>
        <w:pageBreakBefore w:val="0"/>
        <w:widowControl/>
        <w:kinsoku w:val="0"/>
        <w:wordWrap/>
        <w:overflowPunct/>
        <w:topLinePunct w:val="0"/>
        <w:autoSpaceDE w:val="0"/>
        <w:autoSpaceDN w:val="0"/>
        <w:bidi w:val="0"/>
        <w:adjustRightInd w:val="0"/>
        <w:snapToGrid w:val="0"/>
        <w:spacing w:before="50" w:line="360" w:lineRule="auto"/>
        <w:ind w:left="27" w:right="208" w:firstLine="50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2、各供应商应在开标前确保是新疆维吾尔自治区政府采购网正式注册入库的供应</w:t>
      </w:r>
      <w:r>
        <w:rPr>
          <w:rFonts w:hint="eastAsia" w:ascii="仿宋" w:hAnsi="仿宋" w:eastAsia="仿宋" w:cs="仿宋"/>
          <w:color w:val="auto"/>
          <w:spacing w:val="8"/>
          <w:sz w:val="24"/>
          <w:szCs w:val="24"/>
          <w:highlight w:val="none"/>
        </w:rPr>
        <w:t>商，并完成</w:t>
      </w:r>
      <w:r>
        <w:rPr>
          <w:rFonts w:hint="eastAsia" w:ascii="仿宋" w:hAnsi="仿宋" w:eastAsia="仿宋" w:cs="仿宋"/>
          <w:color w:val="auto"/>
          <w:sz w:val="24"/>
          <w:szCs w:val="24"/>
          <w:highlight w:val="none"/>
        </w:rPr>
        <w:t>CA</w:t>
      </w:r>
      <w:r>
        <w:rPr>
          <w:rFonts w:hint="eastAsia" w:ascii="仿宋" w:hAnsi="仿宋" w:eastAsia="仿宋" w:cs="仿宋"/>
          <w:color w:val="auto"/>
          <w:spacing w:val="8"/>
          <w:sz w:val="24"/>
          <w:szCs w:val="24"/>
          <w:highlight w:val="none"/>
        </w:rPr>
        <w:t>数字证书申领。因未注册入库、未办理</w:t>
      </w:r>
      <w:r>
        <w:rPr>
          <w:rFonts w:hint="eastAsia" w:ascii="仿宋" w:hAnsi="仿宋" w:eastAsia="仿宋" w:cs="仿宋"/>
          <w:color w:val="auto"/>
          <w:sz w:val="24"/>
          <w:szCs w:val="24"/>
          <w:highlight w:val="none"/>
        </w:rPr>
        <w:t>CA</w:t>
      </w:r>
      <w:r>
        <w:rPr>
          <w:rFonts w:hint="eastAsia" w:ascii="仿宋" w:hAnsi="仿宋" w:eastAsia="仿宋" w:cs="仿宋"/>
          <w:color w:val="auto"/>
          <w:spacing w:val="8"/>
          <w:sz w:val="24"/>
          <w:szCs w:val="24"/>
          <w:highlight w:val="none"/>
        </w:rPr>
        <w:t>数字证书等原因造成无法投标或</w:t>
      </w:r>
      <w:r>
        <w:rPr>
          <w:rFonts w:hint="eastAsia" w:ascii="仿宋" w:hAnsi="仿宋" w:eastAsia="仿宋" w:cs="仿宋"/>
          <w:color w:val="auto"/>
          <w:spacing w:val="6"/>
          <w:sz w:val="24"/>
          <w:szCs w:val="24"/>
          <w:highlight w:val="none"/>
        </w:rPr>
        <w:t>投标失败等后果的由供应商自行承担。</w:t>
      </w:r>
    </w:p>
    <w:p w14:paraId="3AFE30BF">
      <w:pPr>
        <w:keepNext w:val="0"/>
        <w:keepLines w:val="0"/>
        <w:pageBreakBefore w:val="0"/>
        <w:widowControl/>
        <w:kinsoku w:val="0"/>
        <w:wordWrap/>
        <w:overflowPunct/>
        <w:topLinePunct w:val="0"/>
        <w:autoSpaceDE w:val="0"/>
        <w:autoSpaceDN w:val="0"/>
        <w:bidi w:val="0"/>
        <w:adjustRightInd w:val="0"/>
        <w:snapToGrid w:val="0"/>
        <w:spacing w:before="55" w:line="360" w:lineRule="auto"/>
        <w:ind w:left="28" w:right="120" w:firstLine="50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1"/>
          <w:sz w:val="24"/>
          <w:szCs w:val="24"/>
          <w:highlight w:val="none"/>
        </w:rPr>
        <w:t>3、供应商可前往新疆政府采购网（</w:t>
      </w:r>
      <w:r>
        <w:rPr>
          <w:rFonts w:hint="eastAsia" w:ascii="仿宋" w:hAnsi="仿宋" w:eastAsia="仿宋" w:cs="仿宋"/>
          <w:color w:val="auto"/>
          <w:sz w:val="24"/>
          <w:szCs w:val="24"/>
          <w:highlight w:val="none"/>
        </w:rPr>
        <w:t>http</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rPr>
        <w:t>www</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rPr>
        <w:t>zcygov</w:t>
      </w:r>
      <w:r>
        <w:rPr>
          <w:rFonts w:hint="eastAsia" w:ascii="仿宋" w:hAnsi="仿宋" w:eastAsia="仿宋" w:cs="仿宋"/>
          <w:color w:val="auto"/>
          <w:spacing w:val="11"/>
          <w:sz w:val="24"/>
          <w:szCs w:val="24"/>
          <w:highlight w:val="none"/>
        </w:rPr>
        <w:t>.</w:t>
      </w:r>
      <w:r>
        <w:rPr>
          <w:rFonts w:hint="eastAsia" w:ascii="仿宋" w:hAnsi="仿宋" w:eastAsia="仿宋" w:cs="仿宋"/>
          <w:color w:val="auto"/>
          <w:sz w:val="24"/>
          <w:szCs w:val="24"/>
          <w:highlight w:val="none"/>
        </w:rPr>
        <w:t>cn</w:t>
      </w:r>
      <w:r>
        <w:rPr>
          <w:rFonts w:hint="eastAsia" w:ascii="仿宋" w:hAnsi="仿宋" w:eastAsia="仿宋" w:cs="仿宋"/>
          <w:color w:val="auto"/>
          <w:spacing w:val="11"/>
          <w:sz w:val="24"/>
          <w:szCs w:val="24"/>
          <w:highlight w:val="none"/>
        </w:rPr>
        <w:t>/）下载专区，下载政采</w:t>
      </w:r>
      <w:r>
        <w:rPr>
          <w:rFonts w:hint="eastAsia" w:ascii="仿宋" w:hAnsi="仿宋" w:eastAsia="仿宋" w:cs="仿宋"/>
          <w:color w:val="auto"/>
          <w:spacing w:val="7"/>
          <w:sz w:val="24"/>
          <w:szCs w:val="24"/>
          <w:highlight w:val="none"/>
        </w:rPr>
        <w:t>云电子投标客户端，安装完成后，可通过账号密码或</w:t>
      </w:r>
      <w:r>
        <w:rPr>
          <w:rFonts w:hint="eastAsia" w:ascii="仿宋" w:hAnsi="仿宋" w:eastAsia="仿宋" w:cs="仿宋"/>
          <w:color w:val="auto"/>
          <w:sz w:val="24"/>
          <w:szCs w:val="24"/>
          <w:highlight w:val="none"/>
        </w:rPr>
        <w:t>CA</w:t>
      </w:r>
      <w:r>
        <w:rPr>
          <w:rFonts w:hint="eastAsia" w:ascii="仿宋" w:hAnsi="仿宋" w:eastAsia="仿宋" w:cs="仿宋"/>
          <w:color w:val="auto"/>
          <w:spacing w:val="7"/>
          <w:sz w:val="24"/>
          <w:szCs w:val="24"/>
          <w:highlight w:val="none"/>
        </w:rPr>
        <w:t>登录客户端进行响应文件制作。</w:t>
      </w:r>
    </w:p>
    <w:p w14:paraId="6C462E0D">
      <w:pPr>
        <w:keepNext w:val="0"/>
        <w:keepLines w:val="0"/>
        <w:pageBreakBefore w:val="0"/>
        <w:widowControl/>
        <w:kinsoku w:val="0"/>
        <w:wordWrap/>
        <w:overflowPunct/>
        <w:topLinePunct w:val="0"/>
        <w:autoSpaceDE w:val="0"/>
        <w:autoSpaceDN w:val="0"/>
        <w:bidi w:val="0"/>
        <w:adjustRightInd w:val="0"/>
        <w:snapToGrid w:val="0"/>
        <w:spacing w:before="52" w:line="360" w:lineRule="auto"/>
        <w:ind w:left="34" w:right="127" w:hanging="5"/>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在使用政采云电子投标客户端时，建议使用</w:t>
      </w:r>
      <w:r>
        <w:rPr>
          <w:rFonts w:hint="eastAsia" w:ascii="仿宋" w:hAnsi="仿宋" w:eastAsia="仿宋" w:cs="仿宋"/>
          <w:color w:val="auto"/>
          <w:sz w:val="24"/>
          <w:szCs w:val="24"/>
          <w:highlight w:val="none"/>
        </w:rPr>
        <w:t>WIN</w:t>
      </w:r>
      <w:r>
        <w:rPr>
          <w:rFonts w:hint="eastAsia" w:ascii="仿宋" w:hAnsi="仿宋" w:eastAsia="仿宋" w:cs="仿宋"/>
          <w:color w:val="auto"/>
          <w:spacing w:val="8"/>
          <w:sz w:val="24"/>
          <w:szCs w:val="24"/>
          <w:highlight w:val="none"/>
        </w:rPr>
        <w:t>7及以上操作系统。若对项</w:t>
      </w:r>
      <w:r>
        <w:rPr>
          <w:rFonts w:hint="eastAsia" w:ascii="仿宋" w:hAnsi="仿宋" w:eastAsia="仿宋" w:cs="仿宋"/>
          <w:color w:val="auto"/>
          <w:spacing w:val="7"/>
          <w:sz w:val="24"/>
          <w:szCs w:val="24"/>
          <w:highlight w:val="none"/>
        </w:rPr>
        <w:t>目采购电子交</w:t>
      </w:r>
      <w:r>
        <w:rPr>
          <w:rFonts w:hint="eastAsia" w:ascii="仿宋" w:hAnsi="仿宋" w:eastAsia="仿宋" w:cs="仿宋"/>
          <w:color w:val="auto"/>
          <w:spacing w:val="9"/>
          <w:sz w:val="24"/>
          <w:szCs w:val="24"/>
          <w:highlight w:val="none"/>
        </w:rPr>
        <w:t>易系统操作有疑问，可登录“政采云</w:t>
      </w:r>
      <w:r>
        <w:rPr>
          <w:rFonts w:hint="eastAsia" w:ascii="仿宋" w:hAnsi="仿宋" w:eastAsia="仿宋" w:cs="仿宋"/>
          <w:color w:val="auto"/>
          <w:spacing w:val="-80"/>
          <w:sz w:val="24"/>
          <w:szCs w:val="24"/>
          <w:highlight w:val="none"/>
        </w:rPr>
        <w:t xml:space="preserve"> </w:t>
      </w:r>
      <w:r>
        <w:rPr>
          <w:rFonts w:hint="eastAsia" w:ascii="仿宋" w:hAnsi="仿宋" w:eastAsia="仿宋" w:cs="仿宋"/>
          <w:color w:val="auto"/>
          <w:spacing w:val="9"/>
          <w:sz w:val="24"/>
          <w:szCs w:val="24"/>
          <w:highlight w:val="none"/>
        </w:rPr>
        <w:t>”平台（</w:t>
      </w:r>
      <w:r>
        <w:rPr>
          <w:rFonts w:hint="eastAsia" w:ascii="仿宋" w:hAnsi="仿宋" w:eastAsia="仿宋" w:cs="仿宋"/>
          <w:color w:val="auto"/>
          <w:sz w:val="24"/>
          <w:szCs w:val="24"/>
          <w:highlight w:val="none"/>
        </w:rPr>
        <w:t>https</w:t>
      </w:r>
      <w:r>
        <w:rPr>
          <w:rFonts w:hint="eastAsia" w:ascii="仿宋" w:hAnsi="仿宋" w:eastAsia="仿宋" w:cs="仿宋"/>
          <w:color w:val="auto"/>
          <w:spacing w:val="9"/>
          <w:sz w:val="24"/>
          <w:szCs w:val="24"/>
          <w:highlight w:val="none"/>
        </w:rPr>
        <w:t>://</w:t>
      </w:r>
      <w:r>
        <w:rPr>
          <w:rFonts w:hint="eastAsia" w:ascii="仿宋" w:hAnsi="仿宋" w:eastAsia="仿宋" w:cs="仿宋"/>
          <w:color w:val="auto"/>
          <w:sz w:val="24"/>
          <w:szCs w:val="24"/>
          <w:highlight w:val="none"/>
        </w:rPr>
        <w:t>login</w:t>
      </w:r>
      <w:r>
        <w:rPr>
          <w:rFonts w:hint="eastAsia" w:ascii="仿宋" w:hAnsi="仿宋" w:eastAsia="仿宋" w:cs="仿宋"/>
          <w:color w:val="auto"/>
          <w:spacing w:val="9"/>
          <w:sz w:val="24"/>
          <w:szCs w:val="24"/>
          <w:highlight w:val="none"/>
        </w:rPr>
        <w:t>.</w:t>
      </w:r>
      <w:r>
        <w:rPr>
          <w:rFonts w:hint="eastAsia" w:ascii="仿宋" w:hAnsi="仿宋" w:eastAsia="仿宋" w:cs="仿宋"/>
          <w:color w:val="auto"/>
          <w:sz w:val="24"/>
          <w:szCs w:val="24"/>
          <w:highlight w:val="none"/>
        </w:rPr>
        <w:t>zcygov</w:t>
      </w:r>
      <w:r>
        <w:rPr>
          <w:rFonts w:hint="eastAsia" w:ascii="仿宋" w:hAnsi="仿宋" w:eastAsia="仿宋" w:cs="仿宋"/>
          <w:color w:val="auto"/>
          <w:spacing w:val="9"/>
          <w:sz w:val="24"/>
          <w:szCs w:val="24"/>
          <w:highlight w:val="none"/>
        </w:rPr>
        <w:t>.</w:t>
      </w:r>
      <w:r>
        <w:rPr>
          <w:rFonts w:hint="eastAsia" w:ascii="仿宋" w:hAnsi="仿宋" w:eastAsia="仿宋" w:cs="仿宋"/>
          <w:color w:val="auto"/>
          <w:sz w:val="24"/>
          <w:szCs w:val="24"/>
          <w:highlight w:val="none"/>
        </w:rPr>
        <w:t>cn</w:t>
      </w:r>
      <w:r>
        <w:rPr>
          <w:rFonts w:hint="eastAsia" w:ascii="仿宋" w:hAnsi="仿宋" w:eastAsia="仿宋" w:cs="仿宋"/>
          <w:color w:val="auto"/>
          <w:spacing w:val="9"/>
          <w:sz w:val="24"/>
          <w:szCs w:val="24"/>
          <w:highlight w:val="none"/>
        </w:rPr>
        <w:t>/</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68"/>
          <w:sz w:val="24"/>
          <w:szCs w:val="24"/>
          <w:highlight w:val="none"/>
        </w:rPr>
        <w:t xml:space="preserve"> </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9"/>
          <w:sz w:val="24"/>
          <w:szCs w:val="24"/>
          <w:highlight w:val="none"/>
        </w:rPr>
        <w:t>点击右侧</w:t>
      </w:r>
      <w:r>
        <w:rPr>
          <w:rFonts w:hint="eastAsia" w:ascii="仿宋" w:hAnsi="仿宋" w:eastAsia="仿宋" w:cs="仿宋"/>
          <w:color w:val="auto"/>
          <w:spacing w:val="7"/>
          <w:sz w:val="24"/>
          <w:szCs w:val="24"/>
          <w:highlight w:val="none"/>
        </w:rPr>
        <w:t>咨询小采，获取采小蜜智能服务管家帮助，或拨打政采云服务热线400-881-7190获取热</w:t>
      </w:r>
      <w:r>
        <w:rPr>
          <w:rFonts w:hint="eastAsia" w:ascii="仿宋" w:hAnsi="仿宋" w:eastAsia="仿宋" w:cs="仿宋"/>
          <w:color w:val="auto"/>
          <w:spacing w:val="1"/>
          <w:sz w:val="24"/>
          <w:szCs w:val="24"/>
          <w:highlight w:val="none"/>
        </w:rPr>
        <w:t>线服务帮助。</w:t>
      </w:r>
    </w:p>
    <w:p w14:paraId="796E1DEC">
      <w:pPr>
        <w:keepNext w:val="0"/>
        <w:keepLines w:val="0"/>
        <w:pageBreakBefore w:val="0"/>
        <w:widowControl/>
        <w:kinsoku w:val="0"/>
        <w:wordWrap/>
        <w:overflowPunct/>
        <w:topLinePunct w:val="0"/>
        <w:autoSpaceDE w:val="0"/>
        <w:autoSpaceDN w:val="0"/>
        <w:bidi w:val="0"/>
        <w:adjustRightInd w:val="0"/>
        <w:snapToGrid w:val="0"/>
        <w:spacing w:before="52" w:line="360" w:lineRule="auto"/>
        <w:ind w:left="30" w:right="72" w:firstLine="499"/>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4、供应商在开标时须携带制作加密电子响应文件所使用的</w:t>
      </w:r>
      <w:r>
        <w:rPr>
          <w:rFonts w:hint="eastAsia" w:ascii="仿宋" w:hAnsi="仿宋" w:eastAsia="仿宋" w:cs="仿宋"/>
          <w:color w:val="auto"/>
          <w:sz w:val="24"/>
          <w:szCs w:val="24"/>
          <w:highlight w:val="none"/>
        </w:rPr>
        <w:t>CA</w:t>
      </w:r>
      <w:r>
        <w:rPr>
          <w:rFonts w:hint="eastAsia" w:ascii="仿宋" w:hAnsi="仿宋" w:eastAsia="仿宋" w:cs="仿宋"/>
          <w:color w:val="auto"/>
          <w:spacing w:val="6"/>
          <w:sz w:val="24"/>
          <w:szCs w:val="24"/>
          <w:highlight w:val="none"/>
        </w:rPr>
        <w:t>锁，</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6"/>
          <w:sz w:val="24"/>
          <w:szCs w:val="24"/>
          <w:highlight w:val="none"/>
        </w:rPr>
        <w:t>电脑须提前配置好</w:t>
      </w:r>
      <w:r>
        <w:rPr>
          <w:rFonts w:hint="eastAsia" w:ascii="仿宋" w:hAnsi="仿宋" w:eastAsia="仿宋" w:cs="仿宋"/>
          <w:color w:val="auto"/>
          <w:spacing w:val="5"/>
          <w:sz w:val="24"/>
          <w:szCs w:val="24"/>
          <w:highlight w:val="none"/>
        </w:rPr>
        <w:t>浏览器（建议使用360浏览器或谷歌浏览器</w:t>
      </w:r>
      <w:r>
        <w:rPr>
          <w:rFonts w:hint="eastAsia" w:ascii="仿宋" w:hAnsi="仿宋" w:eastAsia="仿宋" w:cs="仿宋"/>
          <w:color w:val="auto"/>
          <w:spacing w:val="8"/>
          <w:sz w:val="24"/>
          <w:szCs w:val="24"/>
          <w:highlight w:val="none"/>
        </w:rPr>
        <w:t>），</w:t>
      </w:r>
      <w:r>
        <w:rPr>
          <w:rFonts w:hint="eastAsia" w:ascii="仿宋" w:hAnsi="仿宋" w:eastAsia="仿宋" w:cs="仿宋"/>
          <w:color w:val="auto"/>
          <w:spacing w:val="5"/>
          <w:sz w:val="24"/>
          <w:szCs w:val="24"/>
          <w:highlight w:val="none"/>
        </w:rPr>
        <w:t>以便开标时在线解密。</w:t>
      </w:r>
    </w:p>
    <w:p w14:paraId="3C245E59">
      <w:pPr>
        <w:keepNext w:val="0"/>
        <w:keepLines w:val="0"/>
        <w:pageBreakBefore w:val="0"/>
        <w:widowControl/>
        <w:kinsoku w:val="0"/>
        <w:wordWrap/>
        <w:overflowPunct/>
        <w:topLinePunct w:val="0"/>
        <w:autoSpaceDE w:val="0"/>
        <w:autoSpaceDN w:val="0"/>
        <w:bidi w:val="0"/>
        <w:adjustRightInd w:val="0"/>
        <w:snapToGrid w:val="0"/>
        <w:spacing w:before="54" w:line="360" w:lineRule="auto"/>
        <w:ind w:left="7" w:right="79" w:firstLine="52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5、投标供应商应当在投标截止时间前，将生成的“</w:t>
      </w:r>
      <w:r>
        <w:rPr>
          <w:rFonts w:hint="eastAsia" w:ascii="仿宋" w:hAnsi="仿宋" w:eastAsia="仿宋" w:cs="仿宋"/>
          <w:color w:val="auto"/>
          <w:spacing w:val="-68"/>
          <w:sz w:val="24"/>
          <w:szCs w:val="24"/>
          <w:highlight w:val="none"/>
        </w:rPr>
        <w:t xml:space="preserve"> </w:t>
      </w:r>
      <w:r>
        <w:rPr>
          <w:rFonts w:hint="eastAsia" w:ascii="仿宋" w:hAnsi="仿宋" w:eastAsia="仿宋" w:cs="仿宋"/>
          <w:color w:val="auto"/>
          <w:spacing w:val="5"/>
          <w:sz w:val="24"/>
          <w:szCs w:val="24"/>
          <w:highlight w:val="none"/>
        </w:rPr>
        <w:t>电子加密响应文件</w:t>
      </w:r>
      <w:r>
        <w:rPr>
          <w:rFonts w:hint="eastAsia" w:ascii="仿宋" w:hAnsi="仿宋" w:eastAsia="仿宋" w:cs="仿宋"/>
          <w:color w:val="auto"/>
          <w:spacing w:val="-81"/>
          <w:sz w:val="24"/>
          <w:szCs w:val="24"/>
          <w:highlight w:val="none"/>
        </w:rPr>
        <w:t xml:space="preserve"> </w:t>
      </w:r>
      <w:r>
        <w:rPr>
          <w:rFonts w:hint="eastAsia" w:ascii="仿宋" w:hAnsi="仿宋" w:eastAsia="仿宋" w:cs="仿宋"/>
          <w:color w:val="auto"/>
          <w:spacing w:val="5"/>
          <w:sz w:val="24"/>
          <w:szCs w:val="24"/>
          <w:highlight w:val="none"/>
        </w:rPr>
        <w:t>”上传</w:t>
      </w:r>
      <w:r>
        <w:rPr>
          <w:rFonts w:hint="eastAsia" w:ascii="仿宋" w:hAnsi="仿宋" w:eastAsia="仿宋" w:cs="仿宋"/>
          <w:color w:val="auto"/>
          <w:spacing w:val="4"/>
          <w:sz w:val="24"/>
          <w:szCs w:val="24"/>
          <w:highlight w:val="none"/>
        </w:rPr>
        <w:t>递交至</w:t>
      </w:r>
      <w:r>
        <w:rPr>
          <w:rFonts w:hint="eastAsia" w:ascii="仿宋" w:hAnsi="仿宋" w:eastAsia="仿宋" w:cs="仿宋"/>
          <w:color w:val="auto"/>
          <w:spacing w:val="5"/>
          <w:sz w:val="24"/>
          <w:szCs w:val="24"/>
          <w:highlight w:val="none"/>
        </w:rPr>
        <w:t>“政采云</w:t>
      </w:r>
      <w:r>
        <w:rPr>
          <w:rFonts w:hint="eastAsia" w:ascii="仿宋" w:hAnsi="仿宋" w:eastAsia="仿宋" w:cs="仿宋"/>
          <w:color w:val="auto"/>
          <w:spacing w:val="-63"/>
          <w:sz w:val="24"/>
          <w:szCs w:val="24"/>
          <w:highlight w:val="none"/>
        </w:rPr>
        <w:t xml:space="preserve"> </w:t>
      </w:r>
      <w:r>
        <w:rPr>
          <w:rFonts w:hint="eastAsia" w:ascii="仿宋" w:hAnsi="仿宋" w:eastAsia="仿宋" w:cs="仿宋"/>
          <w:color w:val="auto"/>
          <w:spacing w:val="5"/>
          <w:sz w:val="24"/>
          <w:szCs w:val="24"/>
          <w:highlight w:val="none"/>
        </w:rPr>
        <w:t>”平台，投标截止时间以后上传递交的响应文件将被“政采云</w:t>
      </w:r>
      <w:r>
        <w:rPr>
          <w:rFonts w:hint="eastAsia" w:ascii="仿宋" w:hAnsi="仿宋" w:eastAsia="仿宋" w:cs="仿宋"/>
          <w:color w:val="auto"/>
          <w:spacing w:val="-81"/>
          <w:sz w:val="24"/>
          <w:szCs w:val="24"/>
          <w:highlight w:val="none"/>
        </w:rPr>
        <w:t xml:space="preserve"> </w:t>
      </w:r>
      <w:r>
        <w:rPr>
          <w:rFonts w:hint="eastAsia" w:ascii="仿宋" w:hAnsi="仿宋" w:eastAsia="仿宋" w:cs="仿宋"/>
          <w:color w:val="auto"/>
          <w:spacing w:val="5"/>
          <w:sz w:val="24"/>
          <w:szCs w:val="24"/>
          <w:highlight w:val="none"/>
        </w:rPr>
        <w:t>”平台拒收。</w:t>
      </w:r>
    </w:p>
    <w:p w14:paraId="67768BC9">
      <w:pPr>
        <w:keepNext w:val="0"/>
        <w:keepLines w:val="0"/>
        <w:pageBreakBefore w:val="0"/>
        <w:widowControl/>
        <w:kinsoku w:val="0"/>
        <w:wordWrap/>
        <w:overflowPunct/>
        <w:topLinePunct w:val="0"/>
        <w:autoSpaceDE w:val="0"/>
        <w:autoSpaceDN w:val="0"/>
        <w:bidi w:val="0"/>
        <w:adjustRightInd w:val="0"/>
        <w:snapToGrid w:val="0"/>
        <w:spacing w:before="52" w:line="360" w:lineRule="auto"/>
        <w:ind w:left="53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6、其他内容详见采购文件。</w:t>
      </w:r>
    </w:p>
    <w:p w14:paraId="523EFE70">
      <w:pPr>
        <w:keepNext w:val="0"/>
        <w:keepLines w:val="0"/>
        <w:pageBreakBefore w:val="0"/>
        <w:widowControl/>
        <w:kinsoku w:val="0"/>
        <w:wordWrap/>
        <w:overflowPunct/>
        <w:topLinePunct w:val="0"/>
        <w:autoSpaceDE w:val="0"/>
        <w:autoSpaceDN w:val="0"/>
        <w:bidi w:val="0"/>
        <w:adjustRightInd w:val="0"/>
        <w:snapToGrid w:val="0"/>
        <w:spacing w:before="53" w:line="360" w:lineRule="auto"/>
        <w:ind w:left="29" w:right="206" w:firstLine="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14.2本项目为全流程电子开评标项目，供应商须在征集响应文件递交截止时间前制作并</w:t>
      </w:r>
      <w:r>
        <w:rPr>
          <w:rFonts w:hint="eastAsia" w:ascii="仿宋" w:hAnsi="仿宋" w:eastAsia="仿宋" w:cs="仿宋"/>
          <w:color w:val="auto"/>
          <w:spacing w:val="-4"/>
          <w:sz w:val="24"/>
          <w:szCs w:val="24"/>
          <w:highlight w:val="none"/>
        </w:rPr>
        <w:t>提交：</w:t>
      </w:r>
    </w:p>
    <w:p w14:paraId="22309CD8">
      <w:pPr>
        <w:keepNext w:val="0"/>
        <w:keepLines w:val="0"/>
        <w:pageBreakBefore w:val="0"/>
        <w:widowControl/>
        <w:kinsoku w:val="0"/>
        <w:wordWrap/>
        <w:overflowPunct/>
        <w:topLinePunct w:val="0"/>
        <w:autoSpaceDE w:val="0"/>
        <w:autoSpaceDN w:val="0"/>
        <w:bidi w:val="0"/>
        <w:adjustRightInd w:val="0"/>
        <w:snapToGrid w:val="0"/>
        <w:spacing w:before="47" w:line="360" w:lineRule="auto"/>
        <w:ind w:left="27" w:right="189" w:firstLine="511"/>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加密的征集响应文件（</w:t>
      </w:r>
      <w:r>
        <w:rPr>
          <w:rFonts w:hint="eastAsia" w:ascii="仿宋" w:hAnsi="仿宋" w:eastAsia="仿宋" w:cs="仿宋"/>
          <w:color w:val="auto"/>
          <w:sz w:val="24"/>
          <w:szCs w:val="24"/>
          <w:highlight w:val="none"/>
        </w:rPr>
        <w:t>jmbs</w:t>
      </w:r>
      <w:r>
        <w:rPr>
          <w:rFonts w:hint="eastAsia" w:ascii="仿宋" w:hAnsi="仿宋" w:eastAsia="仿宋" w:cs="仿宋"/>
          <w:color w:val="auto"/>
          <w:spacing w:val="7"/>
          <w:sz w:val="24"/>
          <w:szCs w:val="24"/>
          <w:highlight w:val="none"/>
        </w:rPr>
        <w:t>格式</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69"/>
          <w:sz w:val="24"/>
          <w:szCs w:val="24"/>
          <w:highlight w:val="none"/>
        </w:rPr>
        <w:t xml:space="preserve"> </w:t>
      </w:r>
      <w:r>
        <w:rPr>
          <w:rFonts w:hint="eastAsia" w:ascii="仿宋" w:hAnsi="仿宋" w:eastAsia="仿宋" w:cs="仿宋"/>
          <w:color w:val="auto"/>
          <w:spacing w:val="3"/>
          <w:sz w:val="24"/>
          <w:szCs w:val="24"/>
          <w:highlight w:val="none"/>
        </w:rPr>
        <w:t>，</w:t>
      </w:r>
      <w:r>
        <w:rPr>
          <w:rFonts w:hint="eastAsia" w:ascii="仿宋" w:hAnsi="仿宋" w:eastAsia="仿宋" w:cs="仿宋"/>
          <w:color w:val="auto"/>
          <w:spacing w:val="7"/>
          <w:sz w:val="24"/>
          <w:szCs w:val="24"/>
          <w:highlight w:val="none"/>
        </w:rPr>
        <w:t>并在文件领取开始时间至征集响应文件递交截</w:t>
      </w:r>
      <w:r>
        <w:rPr>
          <w:rFonts w:hint="eastAsia" w:ascii="仿宋" w:hAnsi="仿宋" w:eastAsia="仿宋" w:cs="仿宋"/>
          <w:color w:val="auto"/>
          <w:spacing w:val="5"/>
          <w:sz w:val="24"/>
          <w:szCs w:val="24"/>
          <w:highlight w:val="none"/>
        </w:rPr>
        <w:t>止时间前通过“政采云平台”上传；上传时必须得到电脑“上传成功”的确认。请供应</w:t>
      </w:r>
      <w:r>
        <w:rPr>
          <w:rFonts w:hint="eastAsia" w:ascii="仿宋" w:hAnsi="仿宋" w:eastAsia="仿宋" w:cs="仿宋"/>
          <w:color w:val="auto"/>
          <w:spacing w:val="6"/>
          <w:sz w:val="24"/>
          <w:szCs w:val="24"/>
          <w:highlight w:val="none"/>
        </w:rPr>
        <w:t>商在上传时认真检查上传征集响应文件是否完整、正确。</w:t>
      </w:r>
    </w:p>
    <w:p w14:paraId="30C2EC58">
      <w:pPr>
        <w:keepNext w:val="0"/>
        <w:keepLines w:val="0"/>
        <w:pageBreakBefore w:val="0"/>
        <w:widowControl/>
        <w:kinsoku w:val="0"/>
        <w:wordWrap/>
        <w:overflowPunct/>
        <w:topLinePunct w:val="0"/>
        <w:autoSpaceDE w:val="0"/>
        <w:autoSpaceDN w:val="0"/>
        <w:bidi w:val="0"/>
        <w:adjustRightInd w:val="0"/>
        <w:snapToGrid w:val="0"/>
        <w:spacing w:before="53" w:line="360" w:lineRule="auto"/>
        <w:ind w:left="29" w:right="206" w:firstLine="8"/>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14.3征集文件格式所要求包含的全部资料应全部制作在征集响应文件内，严格按照本项</w:t>
      </w:r>
      <w:r>
        <w:rPr>
          <w:rFonts w:hint="eastAsia" w:ascii="仿宋" w:hAnsi="仿宋" w:eastAsia="仿宋" w:cs="仿宋"/>
          <w:color w:val="auto"/>
          <w:spacing w:val="6"/>
          <w:sz w:val="24"/>
          <w:szCs w:val="24"/>
          <w:highlight w:val="none"/>
        </w:rPr>
        <w:t>目征集文件所有格式如实填写（不涉及的内容除外</w:t>
      </w:r>
      <w:r>
        <w:rPr>
          <w:rFonts w:hint="eastAsia" w:ascii="仿宋" w:hAnsi="仿宋" w:eastAsia="仿宋" w:cs="仿宋"/>
          <w:color w:val="auto"/>
          <w:spacing w:val="5"/>
          <w:sz w:val="24"/>
          <w:szCs w:val="24"/>
          <w:highlight w:val="none"/>
        </w:rPr>
        <w:t>）</w:t>
      </w:r>
      <w:r>
        <w:rPr>
          <w:rFonts w:hint="eastAsia" w:ascii="仿宋" w:hAnsi="仿宋" w:eastAsia="仿宋" w:cs="仿宋"/>
          <w:color w:val="auto"/>
          <w:spacing w:val="-70"/>
          <w:sz w:val="24"/>
          <w:szCs w:val="24"/>
          <w:highlight w:val="none"/>
        </w:rPr>
        <w:t xml:space="preserve"> </w:t>
      </w:r>
      <w:r>
        <w:rPr>
          <w:rFonts w:hint="eastAsia" w:ascii="仿宋" w:hAnsi="仿宋" w:eastAsia="仿宋" w:cs="仿宋"/>
          <w:color w:val="auto"/>
          <w:spacing w:val="5"/>
          <w:sz w:val="24"/>
          <w:szCs w:val="24"/>
          <w:highlight w:val="none"/>
        </w:rPr>
        <w:t>，</w:t>
      </w:r>
      <w:r>
        <w:rPr>
          <w:rFonts w:hint="eastAsia" w:ascii="仿宋" w:hAnsi="仿宋" w:eastAsia="仿宋" w:cs="仿宋"/>
          <w:color w:val="auto"/>
          <w:spacing w:val="6"/>
          <w:sz w:val="24"/>
          <w:szCs w:val="24"/>
          <w:highlight w:val="none"/>
        </w:rPr>
        <w:t>不应存在漏项或缺项，否则将存</w:t>
      </w:r>
      <w:r>
        <w:rPr>
          <w:rFonts w:hint="eastAsia" w:ascii="仿宋" w:hAnsi="仿宋" w:eastAsia="仿宋" w:cs="仿宋"/>
          <w:color w:val="auto"/>
          <w:spacing w:val="5"/>
          <w:sz w:val="24"/>
          <w:szCs w:val="24"/>
          <w:highlight w:val="none"/>
        </w:rPr>
        <w:t>在征集响应文件被拒绝的风险。</w:t>
      </w:r>
    </w:p>
    <w:p w14:paraId="374E37E2">
      <w:pPr>
        <w:keepNext w:val="0"/>
        <w:keepLines w:val="0"/>
        <w:pageBreakBefore w:val="0"/>
        <w:widowControl/>
        <w:kinsoku w:val="0"/>
        <w:wordWrap/>
        <w:overflowPunct/>
        <w:topLinePunct w:val="0"/>
        <w:autoSpaceDE w:val="0"/>
        <w:autoSpaceDN w:val="0"/>
        <w:bidi w:val="0"/>
        <w:adjustRightInd w:val="0"/>
        <w:snapToGrid w:val="0"/>
        <w:spacing w:before="53"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14.4征集响应文件以外的任何资料采购人将拒收。</w:t>
      </w:r>
    </w:p>
    <w:p w14:paraId="29B6F014">
      <w:pPr>
        <w:keepNext w:val="0"/>
        <w:keepLines w:val="0"/>
        <w:pageBreakBefore w:val="0"/>
        <w:widowControl/>
        <w:kinsoku w:val="0"/>
        <w:wordWrap/>
        <w:overflowPunct/>
        <w:topLinePunct w:val="0"/>
        <w:autoSpaceDE w:val="0"/>
        <w:autoSpaceDN w:val="0"/>
        <w:bidi w:val="0"/>
        <w:adjustRightInd w:val="0"/>
        <w:snapToGrid w:val="0"/>
        <w:spacing w:before="53" w:line="360" w:lineRule="auto"/>
        <w:ind w:left="27" w:right="189" w:firstLine="10"/>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14.5供应商编辑电子征集响应文件时，根据征集文件要求用法人</w:t>
      </w:r>
      <w:r>
        <w:rPr>
          <w:rFonts w:hint="eastAsia" w:ascii="仿宋" w:hAnsi="仿宋" w:eastAsia="仿宋" w:cs="仿宋"/>
          <w:color w:val="auto"/>
          <w:sz w:val="24"/>
          <w:szCs w:val="24"/>
          <w:highlight w:val="none"/>
        </w:rPr>
        <w:t>CA</w:t>
      </w:r>
      <w:r>
        <w:rPr>
          <w:rFonts w:hint="eastAsia" w:ascii="仿宋" w:hAnsi="仿宋" w:eastAsia="仿宋" w:cs="仿宋"/>
          <w:color w:val="auto"/>
          <w:spacing w:val="8"/>
          <w:sz w:val="24"/>
          <w:szCs w:val="24"/>
          <w:highlight w:val="none"/>
        </w:rPr>
        <w:t>秘钥和企业</w:t>
      </w:r>
      <w:r>
        <w:rPr>
          <w:rFonts w:hint="eastAsia" w:ascii="仿宋" w:hAnsi="仿宋" w:eastAsia="仿宋" w:cs="仿宋"/>
          <w:color w:val="auto"/>
          <w:sz w:val="24"/>
          <w:szCs w:val="24"/>
          <w:highlight w:val="none"/>
        </w:rPr>
        <w:t>CA</w:t>
      </w:r>
      <w:r>
        <w:rPr>
          <w:rFonts w:hint="eastAsia" w:ascii="仿宋" w:hAnsi="仿宋" w:eastAsia="仿宋" w:cs="仿宋"/>
          <w:color w:val="auto"/>
          <w:spacing w:val="7"/>
          <w:sz w:val="24"/>
          <w:szCs w:val="24"/>
          <w:highlight w:val="none"/>
        </w:rPr>
        <w:t>秘钥进行签章制作；最后一步生成电子征集响应文件（</w:t>
      </w:r>
      <w:r>
        <w:rPr>
          <w:rFonts w:hint="eastAsia" w:ascii="仿宋" w:hAnsi="仿宋" w:eastAsia="仿宋" w:cs="仿宋"/>
          <w:color w:val="auto"/>
          <w:sz w:val="24"/>
          <w:szCs w:val="24"/>
          <w:highlight w:val="none"/>
        </w:rPr>
        <w:t>jmbs</w:t>
      </w:r>
      <w:r>
        <w:rPr>
          <w:rFonts w:hint="eastAsia" w:ascii="仿宋" w:hAnsi="仿宋" w:eastAsia="仿宋" w:cs="仿宋"/>
          <w:color w:val="auto"/>
          <w:spacing w:val="7"/>
          <w:sz w:val="24"/>
          <w:szCs w:val="24"/>
          <w:highlight w:val="none"/>
        </w:rPr>
        <w:t>格式）</w:t>
      </w:r>
      <w:r>
        <w:rPr>
          <w:rFonts w:hint="eastAsia" w:ascii="仿宋" w:hAnsi="仿宋" w:eastAsia="仿宋" w:cs="仿宋"/>
          <w:color w:val="auto"/>
          <w:spacing w:val="-68"/>
          <w:sz w:val="24"/>
          <w:szCs w:val="24"/>
          <w:highlight w:val="none"/>
        </w:rPr>
        <w:t xml:space="preserve"> </w:t>
      </w:r>
      <w:r>
        <w:rPr>
          <w:rFonts w:hint="eastAsia" w:ascii="仿宋" w:hAnsi="仿宋" w:eastAsia="仿宋" w:cs="仿宋"/>
          <w:color w:val="auto"/>
          <w:spacing w:val="7"/>
          <w:sz w:val="24"/>
          <w:szCs w:val="24"/>
          <w:highlight w:val="none"/>
        </w:rPr>
        <w:t>时，只能用本单位的企业</w:t>
      </w:r>
      <w:r>
        <w:rPr>
          <w:rFonts w:hint="eastAsia" w:ascii="仿宋" w:hAnsi="仿宋" w:eastAsia="仿宋" w:cs="仿宋"/>
          <w:color w:val="auto"/>
          <w:sz w:val="24"/>
          <w:szCs w:val="24"/>
          <w:highlight w:val="none"/>
        </w:rPr>
        <w:t>CA</w:t>
      </w:r>
      <w:r>
        <w:rPr>
          <w:rFonts w:hint="eastAsia" w:ascii="仿宋" w:hAnsi="仿宋" w:eastAsia="仿宋" w:cs="仿宋"/>
          <w:color w:val="auto"/>
          <w:spacing w:val="1"/>
          <w:sz w:val="24"/>
          <w:szCs w:val="24"/>
          <w:highlight w:val="none"/>
        </w:rPr>
        <w:t>秘钥加密。</w:t>
      </w:r>
    </w:p>
    <w:p w14:paraId="442FD508">
      <w:pPr>
        <w:keepNext w:val="0"/>
        <w:keepLines w:val="0"/>
        <w:pageBreakBefore w:val="0"/>
        <w:widowControl/>
        <w:kinsoku w:val="0"/>
        <w:wordWrap/>
        <w:overflowPunct/>
        <w:topLinePunct w:val="0"/>
        <w:autoSpaceDE w:val="0"/>
        <w:autoSpaceDN w:val="0"/>
        <w:bidi w:val="0"/>
        <w:adjustRightInd w:val="0"/>
        <w:snapToGrid w:val="0"/>
        <w:spacing w:before="52" w:line="360" w:lineRule="auto"/>
        <w:ind w:left="33" w:firstLine="4"/>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14.6供应商必须按</w:t>
      </w:r>
      <w:r>
        <w:rPr>
          <w:rFonts w:hint="eastAsia" w:ascii="仿宋" w:hAnsi="仿宋" w:eastAsia="仿宋" w:cs="仿宋"/>
          <w:color w:val="auto"/>
          <w:spacing w:val="-1"/>
          <w:sz w:val="24"/>
          <w:szCs w:val="24"/>
          <w:highlight w:val="none"/>
        </w:rPr>
        <w:t>照征集文件的规定和要求在指定位置签字或盖章。使用CA锁电子签名或者亲笔签字后整页扫描上传，否则按无效投标处理。</w:t>
      </w:r>
    </w:p>
    <w:p w14:paraId="77993891">
      <w:pPr>
        <w:keepNext w:val="0"/>
        <w:keepLines w:val="0"/>
        <w:pageBreakBefore w:val="0"/>
        <w:widowControl/>
        <w:kinsoku w:val="0"/>
        <w:wordWrap/>
        <w:overflowPunct/>
        <w:topLinePunct w:val="0"/>
        <w:autoSpaceDE w:val="0"/>
        <w:autoSpaceDN w:val="0"/>
        <w:bidi w:val="0"/>
        <w:adjustRightInd w:val="0"/>
        <w:snapToGrid w:val="0"/>
        <w:spacing w:before="26" w:line="360" w:lineRule="auto"/>
        <w:ind w:left="3630"/>
        <w:textAlignment w:val="baseline"/>
        <w:outlineLvl w:val="1"/>
        <w:rPr>
          <w:rFonts w:hint="eastAsia" w:ascii="仿宋" w:hAnsi="仿宋" w:eastAsia="仿宋" w:cs="仿宋"/>
          <w:color w:val="auto"/>
          <w:sz w:val="24"/>
          <w:szCs w:val="24"/>
          <w:highlight w:val="none"/>
        </w:rPr>
      </w:pPr>
      <w:r>
        <w:rPr>
          <w:rFonts w:hint="eastAsia" w:ascii="仿宋" w:hAnsi="仿宋" w:eastAsia="仿宋" w:cs="仿宋"/>
          <w:color w:val="auto"/>
          <w:spacing w:val="-9"/>
          <w:sz w:val="36"/>
          <w:szCs w:val="36"/>
          <w:highlight w:val="none"/>
          <w14:textOutline w14:w="5103" w14:cap="sq" w14:cmpd="sng">
            <w14:solidFill>
              <w14:srgbClr w14:val="000000"/>
            </w14:solidFill>
            <w14:prstDash w14:val="solid"/>
            <w14:bevel/>
          </w14:textOutline>
        </w:rPr>
        <w:t>四</w:t>
      </w:r>
      <w:r>
        <w:rPr>
          <w:rFonts w:hint="eastAsia" w:ascii="仿宋" w:hAnsi="仿宋" w:eastAsia="仿宋" w:cs="仿宋"/>
          <w:color w:val="auto"/>
          <w:spacing w:val="14"/>
          <w:sz w:val="36"/>
          <w:szCs w:val="36"/>
          <w:highlight w:val="none"/>
        </w:rPr>
        <w:t xml:space="preserve">  </w:t>
      </w:r>
      <w:r>
        <w:rPr>
          <w:rFonts w:hint="eastAsia" w:ascii="仿宋" w:hAnsi="仿宋" w:eastAsia="仿宋" w:cs="仿宋"/>
          <w:color w:val="auto"/>
          <w:spacing w:val="-9"/>
          <w:sz w:val="36"/>
          <w:szCs w:val="36"/>
          <w:highlight w:val="none"/>
          <w14:textOutline w14:w="5103" w14:cap="sq" w14:cmpd="sng">
            <w14:solidFill>
              <w14:srgbClr w14:val="000000"/>
            </w14:solidFill>
            <w14:prstDash w14:val="solid"/>
            <w14:bevel/>
          </w14:textOutline>
        </w:rPr>
        <w:t>响应文件的递交</w:t>
      </w:r>
    </w:p>
    <w:p w14:paraId="629D7ED9">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15.响应文件的密封和标记</w:t>
      </w:r>
    </w:p>
    <w:p w14:paraId="3D418711">
      <w:pPr>
        <w:keepNext w:val="0"/>
        <w:keepLines w:val="0"/>
        <w:pageBreakBefore w:val="0"/>
        <w:widowControl/>
        <w:kinsoku w:val="0"/>
        <w:wordWrap/>
        <w:overflowPunct/>
        <w:topLinePunct w:val="0"/>
        <w:autoSpaceDE w:val="0"/>
        <w:autoSpaceDN w:val="0"/>
        <w:bidi w:val="0"/>
        <w:adjustRightInd w:val="0"/>
        <w:snapToGrid w:val="0"/>
        <w:spacing w:before="74" w:line="360" w:lineRule="auto"/>
        <w:ind w:left="30" w:right="38" w:firstLine="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15.1供应商在征集响应文件规定的递交截止时间前，将征集响应文件按供应商须知规定解密递交。未按征集文件要求将加密递交的征集响应文件将被拒绝。</w:t>
      </w:r>
    </w:p>
    <w:p w14:paraId="7FCB2662">
      <w:pPr>
        <w:keepNext w:val="0"/>
        <w:keepLines w:val="0"/>
        <w:pageBreakBefore w:val="0"/>
        <w:widowControl/>
        <w:kinsoku w:val="0"/>
        <w:wordWrap/>
        <w:overflowPunct/>
        <w:topLinePunct w:val="0"/>
        <w:autoSpaceDE w:val="0"/>
        <w:autoSpaceDN w:val="0"/>
        <w:bidi w:val="0"/>
        <w:adjustRightInd w:val="0"/>
        <w:snapToGrid w:val="0"/>
        <w:spacing w:before="52"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15.2不接受邮寄的征集响应文件。</w:t>
      </w:r>
    </w:p>
    <w:p w14:paraId="29B63A67">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16.征集截止</w:t>
      </w:r>
    </w:p>
    <w:p w14:paraId="5F993099">
      <w:pPr>
        <w:keepNext w:val="0"/>
        <w:keepLines w:val="0"/>
        <w:pageBreakBefore w:val="0"/>
        <w:widowControl/>
        <w:kinsoku w:val="0"/>
        <w:wordWrap/>
        <w:overflowPunct/>
        <w:topLinePunct w:val="0"/>
        <w:autoSpaceDE w:val="0"/>
        <w:autoSpaceDN w:val="0"/>
        <w:bidi w:val="0"/>
        <w:adjustRightInd w:val="0"/>
        <w:snapToGrid w:val="0"/>
        <w:spacing w:before="44"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16.1供应商应在</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中规定的截止时间前，将响应文件递交到政采云平台。</w:t>
      </w:r>
    </w:p>
    <w:p w14:paraId="157BF597">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17.响应文件的接收、修改与撒回</w:t>
      </w:r>
    </w:p>
    <w:p w14:paraId="37B11FA5">
      <w:pPr>
        <w:keepNext w:val="0"/>
        <w:keepLines w:val="0"/>
        <w:pageBreakBefore w:val="0"/>
        <w:widowControl/>
        <w:kinsoku w:val="0"/>
        <w:wordWrap/>
        <w:overflowPunct/>
        <w:topLinePunct w:val="0"/>
        <w:autoSpaceDE w:val="0"/>
        <w:autoSpaceDN w:val="0"/>
        <w:bidi w:val="0"/>
        <w:adjustRightInd w:val="0"/>
        <w:snapToGrid w:val="0"/>
        <w:spacing w:before="47" w:line="360" w:lineRule="auto"/>
        <w:ind w:left="42" w:right="216" w:firstLine="11"/>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17.1供应商应在</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中规定的截止时间前，可以撤回已上传的响应文件。如要</w:t>
      </w:r>
      <w:r>
        <w:rPr>
          <w:rFonts w:hint="eastAsia" w:ascii="仿宋" w:hAnsi="仿宋" w:eastAsia="仿宋" w:cs="仿宋"/>
          <w:color w:val="auto"/>
          <w:sz w:val="24"/>
          <w:szCs w:val="24"/>
          <w:highlight w:val="none"/>
        </w:rPr>
        <w:t>修改，必须在撤回并修改后在规定的响应文件递交截</w:t>
      </w:r>
      <w:r>
        <w:rPr>
          <w:rFonts w:hint="eastAsia" w:ascii="仿宋" w:hAnsi="仿宋" w:eastAsia="仿宋" w:cs="仿宋"/>
          <w:color w:val="auto"/>
          <w:spacing w:val="-1"/>
          <w:sz w:val="24"/>
          <w:szCs w:val="24"/>
          <w:highlight w:val="none"/>
        </w:rPr>
        <w:t>止时间之前将修改后的响应文件再重新</w:t>
      </w:r>
      <w:r>
        <w:rPr>
          <w:rFonts w:hint="eastAsia" w:ascii="仿宋" w:hAnsi="仿宋" w:eastAsia="仿宋" w:cs="仿宋"/>
          <w:color w:val="auto"/>
          <w:sz w:val="24"/>
          <w:szCs w:val="24"/>
          <w:highlight w:val="none"/>
        </w:rPr>
        <w:t>上传。在响应文件递交截止时间之后，供应</w:t>
      </w:r>
      <w:r>
        <w:rPr>
          <w:rFonts w:hint="eastAsia" w:ascii="仿宋" w:hAnsi="仿宋" w:eastAsia="仿宋" w:cs="仿宋"/>
          <w:color w:val="auto"/>
          <w:spacing w:val="-1"/>
          <w:sz w:val="24"/>
          <w:szCs w:val="24"/>
          <w:highlight w:val="none"/>
        </w:rPr>
        <w:t>商不得对上传的响应文件撤销或修改。</w:t>
      </w:r>
    </w:p>
    <w:p w14:paraId="04BE24CA">
      <w:pPr>
        <w:keepNext w:val="0"/>
        <w:keepLines w:val="0"/>
        <w:pageBreakBefore w:val="0"/>
        <w:widowControl/>
        <w:kinsoku w:val="0"/>
        <w:wordWrap/>
        <w:overflowPunct/>
        <w:topLinePunct w:val="0"/>
        <w:autoSpaceDE w:val="0"/>
        <w:autoSpaceDN w:val="0"/>
        <w:bidi w:val="0"/>
        <w:adjustRightInd w:val="0"/>
        <w:snapToGrid w:val="0"/>
        <w:spacing w:before="29" w:line="360" w:lineRule="auto"/>
        <w:ind w:left="3196"/>
        <w:textAlignment w:val="baseline"/>
        <w:outlineLvl w:val="1"/>
        <w:rPr>
          <w:rFonts w:hint="eastAsia" w:ascii="仿宋" w:hAnsi="仿宋" w:eastAsia="仿宋" w:cs="仿宋"/>
          <w:color w:val="auto"/>
          <w:sz w:val="36"/>
          <w:szCs w:val="36"/>
          <w:highlight w:val="none"/>
        </w:rPr>
      </w:pPr>
      <w:r>
        <w:rPr>
          <w:rFonts w:hint="eastAsia" w:ascii="仿宋" w:hAnsi="仿宋" w:eastAsia="仿宋" w:cs="仿宋"/>
          <w:color w:val="auto"/>
          <w:spacing w:val="-4"/>
          <w:sz w:val="36"/>
          <w:szCs w:val="36"/>
          <w:highlight w:val="none"/>
          <w14:textOutline w14:w="5103" w14:cap="sq" w14:cmpd="sng">
            <w14:solidFill>
              <w14:srgbClr w14:val="000000"/>
            </w14:solidFill>
            <w14:prstDash w14:val="solid"/>
            <w14:bevel/>
          </w14:textOutline>
        </w:rPr>
        <w:t>五</w:t>
      </w:r>
      <w:r>
        <w:rPr>
          <w:rFonts w:hint="eastAsia" w:ascii="仿宋" w:hAnsi="仿宋" w:eastAsia="仿宋" w:cs="仿宋"/>
          <w:color w:val="auto"/>
          <w:spacing w:val="16"/>
          <w:sz w:val="36"/>
          <w:szCs w:val="36"/>
          <w:highlight w:val="none"/>
        </w:rPr>
        <w:t xml:space="preserve">  </w:t>
      </w:r>
      <w:r>
        <w:rPr>
          <w:rFonts w:hint="eastAsia" w:ascii="仿宋" w:hAnsi="仿宋" w:eastAsia="仿宋" w:cs="仿宋"/>
          <w:color w:val="auto"/>
          <w:spacing w:val="-4"/>
          <w:sz w:val="36"/>
          <w:szCs w:val="36"/>
          <w:highlight w:val="none"/>
          <w14:textOutline w14:w="5103" w14:cap="sq" w14:cmpd="sng">
            <w14:solidFill>
              <w14:srgbClr w14:val="000000"/>
            </w14:solidFill>
            <w14:prstDash w14:val="solid"/>
            <w14:bevel/>
          </w14:textOutline>
        </w:rPr>
        <w:t>响应文件的开启及评审</w:t>
      </w:r>
    </w:p>
    <w:p w14:paraId="65ED8EEC">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18.开标</w:t>
      </w:r>
    </w:p>
    <w:p w14:paraId="7D049F56">
      <w:pPr>
        <w:keepNext w:val="0"/>
        <w:keepLines w:val="0"/>
        <w:pageBreakBefore w:val="0"/>
        <w:widowControl/>
        <w:kinsoku w:val="0"/>
        <w:wordWrap/>
        <w:overflowPunct/>
        <w:topLinePunct w:val="0"/>
        <w:autoSpaceDE w:val="0"/>
        <w:autoSpaceDN w:val="0"/>
        <w:bidi w:val="0"/>
        <w:adjustRightInd w:val="0"/>
        <w:snapToGrid w:val="0"/>
        <w:spacing w:before="49" w:line="360" w:lineRule="auto"/>
        <w:ind w:left="42" w:right="216" w:firstLine="1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18.1征集人将按</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中规定的开启时间和地点组织征集采购活动。提交响应文件的供应商少于</w:t>
      </w:r>
      <w:r>
        <w:rPr>
          <w:rFonts w:hint="eastAsia" w:ascii="仿宋" w:hAnsi="仿宋" w:eastAsia="仿宋" w:cs="仿宋"/>
          <w:color w:val="auto"/>
          <w:spacing w:val="-1"/>
          <w:sz w:val="24"/>
          <w:szCs w:val="24"/>
          <w:highlight w:val="none"/>
          <w:lang w:val="en-US" w:eastAsia="zh-CN"/>
        </w:rPr>
        <w:t>2</w:t>
      </w:r>
      <w:r>
        <w:rPr>
          <w:rFonts w:hint="eastAsia" w:ascii="仿宋" w:hAnsi="仿宋" w:eastAsia="仿宋" w:cs="仿宋"/>
          <w:color w:val="auto"/>
          <w:spacing w:val="-1"/>
          <w:sz w:val="24"/>
          <w:szCs w:val="24"/>
          <w:highlight w:val="none"/>
        </w:rPr>
        <w:t>家的，不得开启。</w:t>
      </w:r>
    </w:p>
    <w:p w14:paraId="62BA108B">
      <w:pPr>
        <w:keepNext w:val="0"/>
        <w:keepLines w:val="0"/>
        <w:pageBreakBefore w:val="0"/>
        <w:widowControl/>
        <w:kinsoku w:val="0"/>
        <w:wordWrap/>
        <w:overflowPunct/>
        <w:topLinePunct w:val="0"/>
        <w:autoSpaceDE w:val="0"/>
        <w:autoSpaceDN w:val="0"/>
        <w:bidi w:val="0"/>
        <w:adjustRightInd w:val="0"/>
        <w:snapToGrid w:val="0"/>
        <w:spacing w:before="23" w:line="360" w:lineRule="auto"/>
        <w:ind w:left="43" w:right="216" w:firstLine="9"/>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18.2开启前，征集人将会同监督人员或公证人员进行验标（检查网上招标系统正常与否，检查未加密的电子响应文件，检查供应商保证金交纳情况</w:t>
      </w:r>
      <w:r>
        <w:rPr>
          <w:rFonts w:hint="eastAsia" w:ascii="仿宋" w:hAnsi="仿宋" w:eastAsia="仿宋" w:cs="仿宋"/>
          <w:color w:val="auto"/>
          <w:spacing w:val="10"/>
          <w:sz w:val="24"/>
          <w:szCs w:val="24"/>
          <w:highlight w:val="none"/>
        </w:rPr>
        <w:t>），</w:t>
      </w:r>
      <w:r>
        <w:rPr>
          <w:rFonts w:hint="eastAsia" w:ascii="仿宋" w:hAnsi="仿宋" w:eastAsia="仿宋" w:cs="仿宋"/>
          <w:color w:val="auto"/>
          <w:spacing w:val="-1"/>
          <w:sz w:val="24"/>
          <w:szCs w:val="24"/>
          <w:highlight w:val="none"/>
        </w:rPr>
        <w:t>确认无误后开启解密。开启时，</w:t>
      </w:r>
      <w:r>
        <w:rPr>
          <w:rFonts w:hint="eastAsia" w:ascii="仿宋" w:hAnsi="仿宋" w:eastAsia="仿宋" w:cs="仿宋"/>
          <w:color w:val="auto"/>
          <w:sz w:val="24"/>
          <w:szCs w:val="24"/>
          <w:highlight w:val="none"/>
        </w:rPr>
        <w:t>各供应商应对本单位的加密的电子响应文件现场解</w:t>
      </w:r>
      <w:r>
        <w:rPr>
          <w:rFonts w:hint="eastAsia" w:ascii="仿宋" w:hAnsi="仿宋" w:eastAsia="仿宋" w:cs="仿宋"/>
          <w:color w:val="auto"/>
          <w:spacing w:val="-1"/>
          <w:sz w:val="24"/>
          <w:szCs w:val="24"/>
          <w:highlight w:val="none"/>
        </w:rPr>
        <w:t>密，征集人工作人员在监督人员或公证人</w:t>
      </w:r>
      <w:r>
        <w:rPr>
          <w:rFonts w:hint="eastAsia" w:ascii="仿宋" w:hAnsi="仿宋" w:eastAsia="仿宋" w:cs="仿宋"/>
          <w:color w:val="auto"/>
          <w:spacing w:val="-2"/>
          <w:sz w:val="24"/>
          <w:szCs w:val="24"/>
          <w:highlight w:val="none"/>
        </w:rPr>
        <w:t>员监督下解密所有响应文件。</w:t>
      </w:r>
    </w:p>
    <w:p w14:paraId="52C4A793">
      <w:pPr>
        <w:keepNext w:val="0"/>
        <w:keepLines w:val="0"/>
        <w:pageBreakBefore w:val="0"/>
        <w:widowControl/>
        <w:kinsoku w:val="0"/>
        <w:wordWrap/>
        <w:overflowPunct/>
        <w:topLinePunct w:val="0"/>
        <w:autoSpaceDE w:val="0"/>
        <w:autoSpaceDN w:val="0"/>
        <w:bidi w:val="0"/>
        <w:adjustRightInd w:val="0"/>
        <w:snapToGrid w:val="0"/>
        <w:spacing w:before="24" w:line="360" w:lineRule="auto"/>
        <w:ind w:left="5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18.3 征集人将对开启过程进行记录，并存档</w:t>
      </w:r>
      <w:r>
        <w:rPr>
          <w:rFonts w:hint="eastAsia" w:ascii="仿宋" w:hAnsi="仿宋" w:eastAsia="仿宋" w:cs="仿宋"/>
          <w:color w:val="auto"/>
          <w:spacing w:val="-2"/>
          <w:sz w:val="24"/>
          <w:szCs w:val="24"/>
          <w:highlight w:val="none"/>
        </w:rPr>
        <w:t>备查。</w:t>
      </w:r>
    </w:p>
    <w:p w14:paraId="24EA0958">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19.资格审查及组建评标委员会</w:t>
      </w:r>
    </w:p>
    <w:p w14:paraId="6E07E06D">
      <w:pPr>
        <w:keepNext w:val="0"/>
        <w:keepLines w:val="0"/>
        <w:pageBreakBefore w:val="0"/>
        <w:widowControl/>
        <w:kinsoku w:val="0"/>
        <w:wordWrap/>
        <w:overflowPunct/>
        <w:topLinePunct w:val="0"/>
        <w:autoSpaceDE w:val="0"/>
        <w:autoSpaceDN w:val="0"/>
        <w:bidi w:val="0"/>
        <w:adjustRightInd w:val="0"/>
        <w:snapToGrid w:val="0"/>
        <w:spacing w:before="46" w:line="360" w:lineRule="auto"/>
        <w:ind w:left="61" w:right="216" w:hanging="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19.1征集人依据法律法规和征集文件中规定的内容，对供应商的资格进行审查。未通过资格审查的供应商不进入评审。通过资格审查的供应商少于</w:t>
      </w:r>
      <w:r>
        <w:rPr>
          <w:rFonts w:hint="eastAsia" w:ascii="仿宋" w:hAnsi="仿宋" w:eastAsia="仿宋" w:cs="仿宋"/>
          <w:color w:val="auto"/>
          <w:spacing w:val="-1"/>
          <w:sz w:val="24"/>
          <w:szCs w:val="24"/>
          <w:highlight w:val="none"/>
          <w:lang w:val="en-US" w:eastAsia="zh-CN"/>
        </w:rPr>
        <w:t>2</w:t>
      </w:r>
      <w:r>
        <w:rPr>
          <w:rFonts w:hint="eastAsia" w:ascii="仿宋" w:hAnsi="仿宋" w:eastAsia="仿宋" w:cs="仿宋"/>
          <w:color w:val="auto"/>
          <w:spacing w:val="-1"/>
          <w:sz w:val="24"/>
          <w:szCs w:val="24"/>
          <w:highlight w:val="none"/>
        </w:rPr>
        <w:t>家的，不得</w:t>
      </w:r>
      <w:r>
        <w:rPr>
          <w:rFonts w:hint="eastAsia" w:ascii="仿宋" w:hAnsi="仿宋" w:eastAsia="仿宋" w:cs="仿宋"/>
          <w:color w:val="auto"/>
          <w:spacing w:val="-2"/>
          <w:sz w:val="24"/>
          <w:szCs w:val="24"/>
          <w:highlight w:val="none"/>
        </w:rPr>
        <w:t>评审。</w:t>
      </w:r>
    </w:p>
    <w:p w14:paraId="71E39DDB">
      <w:pPr>
        <w:keepNext w:val="0"/>
        <w:keepLines w:val="0"/>
        <w:pageBreakBefore w:val="0"/>
        <w:widowControl/>
        <w:kinsoku w:val="0"/>
        <w:wordWrap/>
        <w:overflowPunct/>
        <w:topLinePunct w:val="0"/>
        <w:autoSpaceDE w:val="0"/>
        <w:autoSpaceDN w:val="0"/>
        <w:bidi w:val="0"/>
        <w:adjustRightInd w:val="0"/>
        <w:snapToGrid w:val="0"/>
        <w:spacing w:before="23" w:line="360" w:lineRule="auto"/>
        <w:ind w:left="5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19.2征集人将按</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中规定的时间查询供应商的信用记录。</w:t>
      </w:r>
    </w:p>
    <w:p w14:paraId="3125670A">
      <w:pPr>
        <w:keepNext w:val="0"/>
        <w:keepLines w:val="0"/>
        <w:pageBreakBefore w:val="0"/>
        <w:widowControl/>
        <w:kinsoku w:val="0"/>
        <w:wordWrap/>
        <w:overflowPunct/>
        <w:topLinePunct w:val="0"/>
        <w:autoSpaceDE w:val="0"/>
        <w:autoSpaceDN w:val="0"/>
        <w:bidi w:val="0"/>
        <w:adjustRightInd w:val="0"/>
        <w:snapToGrid w:val="0"/>
        <w:spacing w:before="22" w:line="360" w:lineRule="auto"/>
        <w:ind w:left="43" w:right="182" w:firstLine="40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19.2.1 供应商在①“信用中国</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2"/>
          <w:sz w:val="24"/>
          <w:szCs w:val="24"/>
          <w:highlight w:val="none"/>
        </w:rPr>
        <w:t>”被列</w:t>
      </w:r>
      <w:r>
        <w:rPr>
          <w:rFonts w:hint="eastAsia" w:ascii="仿宋" w:hAnsi="仿宋" w:eastAsia="仿宋" w:cs="仿宋"/>
          <w:color w:val="auto"/>
          <w:spacing w:val="-3"/>
          <w:sz w:val="24"/>
          <w:szCs w:val="24"/>
          <w:highlight w:val="none"/>
        </w:rPr>
        <w:t>入严重失信主体名单、企业经营异常名录；②“</w:t>
      </w:r>
      <w:r>
        <w:rPr>
          <w:rFonts w:hint="eastAsia" w:ascii="仿宋" w:hAnsi="仿宋" w:eastAsia="仿宋" w:cs="仿宋"/>
          <w:color w:val="auto"/>
          <w:spacing w:val="-74"/>
          <w:sz w:val="24"/>
          <w:szCs w:val="24"/>
          <w:highlight w:val="none"/>
        </w:rPr>
        <w:t xml:space="preserve"> </w:t>
      </w:r>
      <w:r>
        <w:rPr>
          <w:rFonts w:hint="eastAsia" w:ascii="仿宋" w:hAnsi="仿宋" w:eastAsia="仿宋" w:cs="仿宋"/>
          <w:color w:val="auto"/>
          <w:spacing w:val="-3"/>
          <w:sz w:val="24"/>
          <w:szCs w:val="24"/>
          <w:highlight w:val="none"/>
        </w:rPr>
        <w:t>中</w:t>
      </w:r>
      <w:r>
        <w:rPr>
          <w:rFonts w:hint="eastAsia" w:ascii="仿宋" w:hAnsi="仿宋" w:eastAsia="仿宋" w:cs="仿宋"/>
          <w:color w:val="auto"/>
          <w:spacing w:val="-1"/>
          <w:sz w:val="24"/>
          <w:szCs w:val="24"/>
          <w:highlight w:val="none"/>
        </w:rPr>
        <w:t>国政府采购网</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1"/>
          <w:sz w:val="24"/>
          <w:szCs w:val="24"/>
          <w:highlight w:val="none"/>
        </w:rPr>
        <w:t>”被列入政府采购严重违法失信行为记录名单的；以及</w:t>
      </w:r>
      <w:r>
        <w:rPr>
          <w:rFonts w:hint="eastAsia" w:ascii="仿宋" w:hAnsi="仿宋" w:eastAsia="仿宋" w:cs="仿宋"/>
          <w:color w:val="auto"/>
          <w:spacing w:val="-2"/>
          <w:sz w:val="24"/>
          <w:szCs w:val="24"/>
          <w:highlight w:val="none"/>
        </w:rPr>
        <w:t>存在《中华人民共和国</w:t>
      </w:r>
      <w:r>
        <w:rPr>
          <w:rFonts w:hint="eastAsia" w:ascii="仿宋" w:hAnsi="仿宋" w:eastAsia="仿宋" w:cs="仿宋"/>
          <w:color w:val="auto"/>
          <w:spacing w:val="-1"/>
          <w:sz w:val="24"/>
          <w:szCs w:val="24"/>
          <w:highlight w:val="none"/>
        </w:rPr>
        <w:t>政府采购法实施条例》第十九条规定的行政处罚记录。</w:t>
      </w:r>
    </w:p>
    <w:p w14:paraId="0AD5E6E4">
      <w:pPr>
        <w:keepNext w:val="0"/>
        <w:keepLines w:val="0"/>
        <w:pageBreakBefore w:val="0"/>
        <w:widowControl/>
        <w:kinsoku w:val="0"/>
        <w:wordWrap/>
        <w:overflowPunct/>
        <w:topLinePunct w:val="0"/>
        <w:autoSpaceDE w:val="0"/>
        <w:autoSpaceDN w:val="0"/>
        <w:bidi w:val="0"/>
        <w:adjustRightInd w:val="0"/>
        <w:snapToGrid w:val="0"/>
        <w:spacing w:before="25" w:line="360" w:lineRule="auto"/>
        <w:ind w:left="42" w:right="302" w:firstLine="41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以联合体形式参加征集采购活动的，联合体任何成员存在以上不良信用记录的</w:t>
      </w:r>
      <w:r>
        <w:rPr>
          <w:rFonts w:hint="eastAsia" w:ascii="仿宋" w:hAnsi="仿宋" w:eastAsia="仿宋" w:cs="仿宋"/>
          <w:color w:val="auto"/>
          <w:spacing w:val="-2"/>
          <w:sz w:val="24"/>
          <w:szCs w:val="24"/>
          <w:highlight w:val="none"/>
        </w:rPr>
        <w:t>，响应文</w:t>
      </w:r>
      <w:r>
        <w:rPr>
          <w:rFonts w:hint="eastAsia" w:ascii="仿宋" w:hAnsi="仿宋" w:eastAsia="仿宋" w:cs="仿宋"/>
          <w:color w:val="auto"/>
          <w:spacing w:val="-1"/>
          <w:sz w:val="24"/>
          <w:szCs w:val="24"/>
          <w:highlight w:val="none"/>
        </w:rPr>
        <w:t>件将被认定为无效。</w:t>
      </w:r>
    </w:p>
    <w:p w14:paraId="0B8179E3">
      <w:pPr>
        <w:keepNext w:val="0"/>
        <w:keepLines w:val="0"/>
        <w:pageBreakBefore w:val="0"/>
        <w:widowControl/>
        <w:kinsoku w:val="0"/>
        <w:wordWrap/>
        <w:overflowPunct/>
        <w:topLinePunct w:val="0"/>
        <w:autoSpaceDE w:val="0"/>
        <w:autoSpaceDN w:val="0"/>
        <w:bidi w:val="0"/>
        <w:adjustRightInd w:val="0"/>
        <w:snapToGrid w:val="0"/>
        <w:spacing w:before="23" w:line="360" w:lineRule="auto"/>
        <w:ind w:left="43" w:right="182" w:firstLine="402"/>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19.2.2 征集人经办人将查询网页打印并存档备查。供应商不良信用记录以征集人查询结</w:t>
      </w:r>
      <w:r>
        <w:rPr>
          <w:rFonts w:hint="eastAsia" w:ascii="仿宋" w:hAnsi="仿宋" w:eastAsia="仿宋" w:cs="仿宋"/>
          <w:color w:val="auto"/>
          <w:sz w:val="24"/>
          <w:szCs w:val="24"/>
          <w:highlight w:val="none"/>
        </w:rPr>
        <w:t>果为准。供应商自行提供的与网站信息不一致的其</w:t>
      </w:r>
      <w:r>
        <w:rPr>
          <w:rFonts w:hint="eastAsia" w:ascii="仿宋" w:hAnsi="仿宋" w:eastAsia="仿宋" w:cs="仿宋"/>
          <w:color w:val="auto"/>
          <w:spacing w:val="-1"/>
          <w:sz w:val="24"/>
          <w:szCs w:val="24"/>
          <w:highlight w:val="none"/>
        </w:rPr>
        <w:t>他证明材料亦不作为资格审查的依据。在</w:t>
      </w:r>
      <w:r>
        <w:rPr>
          <w:rFonts w:hint="eastAsia" w:ascii="仿宋" w:hAnsi="仿宋" w:eastAsia="仿宋" w:cs="仿宋"/>
          <w:color w:val="auto"/>
          <w:sz w:val="24"/>
          <w:szCs w:val="24"/>
          <w:highlight w:val="none"/>
        </w:rPr>
        <w:t>本征集文件规定的查询时间之外，网站信息</w:t>
      </w:r>
      <w:r>
        <w:rPr>
          <w:rFonts w:hint="eastAsia" w:ascii="仿宋" w:hAnsi="仿宋" w:eastAsia="仿宋" w:cs="仿宋"/>
          <w:color w:val="auto"/>
          <w:spacing w:val="-1"/>
          <w:sz w:val="24"/>
          <w:szCs w:val="24"/>
          <w:highlight w:val="none"/>
        </w:rPr>
        <w:t>发生的任何变更均不作为资格审查依据。</w:t>
      </w:r>
    </w:p>
    <w:p w14:paraId="2F73C5EE">
      <w:pPr>
        <w:keepNext w:val="0"/>
        <w:keepLines w:val="0"/>
        <w:pageBreakBefore w:val="0"/>
        <w:widowControl/>
        <w:kinsoku w:val="0"/>
        <w:wordWrap/>
        <w:overflowPunct/>
        <w:topLinePunct w:val="0"/>
        <w:autoSpaceDE w:val="0"/>
        <w:autoSpaceDN w:val="0"/>
        <w:bidi w:val="0"/>
        <w:adjustRightInd w:val="0"/>
        <w:snapToGrid w:val="0"/>
        <w:spacing w:before="25" w:line="360" w:lineRule="auto"/>
        <w:ind w:left="43" w:right="216" w:firstLine="9"/>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19.3  按照《中华人民共和国政府采购法》、《中华人民共和国政府采购法实施条例》及本</w:t>
      </w:r>
      <w:r>
        <w:rPr>
          <w:rFonts w:hint="eastAsia" w:ascii="仿宋" w:hAnsi="仿宋" w:eastAsia="仿宋" w:cs="仿宋"/>
          <w:color w:val="auto"/>
          <w:sz w:val="24"/>
          <w:szCs w:val="24"/>
          <w:highlight w:val="none"/>
        </w:rPr>
        <w:t>项目本级和上级财政部门的有关规定依法组建的评</w:t>
      </w:r>
      <w:r>
        <w:rPr>
          <w:rFonts w:hint="eastAsia" w:ascii="仿宋" w:hAnsi="仿宋" w:eastAsia="仿宋" w:cs="仿宋"/>
          <w:color w:val="auto"/>
          <w:spacing w:val="-1"/>
          <w:sz w:val="24"/>
          <w:szCs w:val="24"/>
          <w:highlight w:val="none"/>
        </w:rPr>
        <w:t>标委员会，负责评审工作。</w:t>
      </w:r>
    </w:p>
    <w:p w14:paraId="536C5B8A">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20.响应文件的符合性审查与澄清</w:t>
      </w:r>
    </w:p>
    <w:p w14:paraId="1781014E">
      <w:pPr>
        <w:keepNext w:val="0"/>
        <w:keepLines w:val="0"/>
        <w:pageBreakBefore w:val="0"/>
        <w:widowControl/>
        <w:kinsoku w:val="0"/>
        <w:wordWrap/>
        <w:overflowPunct/>
        <w:topLinePunct w:val="0"/>
        <w:autoSpaceDE w:val="0"/>
        <w:autoSpaceDN w:val="0"/>
        <w:bidi w:val="0"/>
        <w:adjustRightInd w:val="0"/>
        <w:snapToGrid w:val="0"/>
        <w:spacing w:before="44" w:line="360" w:lineRule="auto"/>
        <w:ind w:left="43" w:right="216" w:hanging="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20.1符合性审查是指依据征集文件的规定，对响应文件的有效</w:t>
      </w:r>
      <w:r>
        <w:rPr>
          <w:rFonts w:hint="eastAsia" w:ascii="仿宋" w:hAnsi="仿宋" w:eastAsia="仿宋" w:cs="仿宋"/>
          <w:color w:val="auto"/>
          <w:spacing w:val="-1"/>
          <w:sz w:val="24"/>
          <w:szCs w:val="24"/>
          <w:highlight w:val="none"/>
        </w:rPr>
        <w:t>性和完整性进行审查，以确定是否对征集文件的实质性要求做出响应。</w:t>
      </w:r>
    </w:p>
    <w:p w14:paraId="5CDB65A8">
      <w:pPr>
        <w:keepNext w:val="0"/>
        <w:keepLines w:val="0"/>
        <w:pageBreakBefore w:val="0"/>
        <w:widowControl/>
        <w:kinsoku w:val="0"/>
        <w:wordWrap/>
        <w:overflowPunct/>
        <w:topLinePunct w:val="0"/>
        <w:autoSpaceDE w:val="0"/>
        <w:autoSpaceDN w:val="0"/>
        <w:bidi w:val="0"/>
        <w:adjustRightInd w:val="0"/>
        <w:snapToGrid w:val="0"/>
        <w:spacing w:before="24"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20.2响应文件的澄清</w:t>
      </w:r>
    </w:p>
    <w:p w14:paraId="13462609">
      <w:pPr>
        <w:keepNext w:val="0"/>
        <w:keepLines w:val="0"/>
        <w:pageBreakBefore w:val="0"/>
        <w:widowControl/>
        <w:kinsoku w:val="0"/>
        <w:wordWrap/>
        <w:overflowPunct/>
        <w:topLinePunct w:val="0"/>
        <w:autoSpaceDE w:val="0"/>
        <w:autoSpaceDN w:val="0"/>
        <w:bidi w:val="0"/>
        <w:adjustRightInd w:val="0"/>
        <w:snapToGrid w:val="0"/>
        <w:spacing w:before="24" w:line="360" w:lineRule="auto"/>
        <w:ind w:left="431"/>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20.2.1在评审期间，评标委员会将以书面方式要求供应商</w:t>
      </w:r>
      <w:r>
        <w:rPr>
          <w:rFonts w:hint="eastAsia" w:ascii="仿宋" w:hAnsi="仿宋" w:eastAsia="仿宋" w:cs="仿宋"/>
          <w:color w:val="auto"/>
          <w:spacing w:val="-1"/>
          <w:sz w:val="24"/>
          <w:szCs w:val="24"/>
          <w:highlight w:val="none"/>
        </w:rPr>
        <w:t>对其响应文件中含义不明确、</w:t>
      </w:r>
    </w:p>
    <w:p w14:paraId="18CE58AF">
      <w:pPr>
        <w:keepNext w:val="0"/>
        <w:keepLines w:val="0"/>
        <w:pageBreakBefore w:val="0"/>
        <w:widowControl/>
        <w:kinsoku w:val="0"/>
        <w:wordWrap/>
        <w:overflowPunct/>
        <w:topLinePunct w:val="0"/>
        <w:autoSpaceDE w:val="0"/>
        <w:autoSpaceDN w:val="0"/>
        <w:bidi w:val="0"/>
        <w:adjustRightInd w:val="0"/>
        <w:snapToGrid w:val="0"/>
        <w:spacing w:before="24" w:line="360" w:lineRule="auto"/>
        <w:ind w:left="43" w:right="21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对同类问题表述不一致或者有明显文字和计算错</w:t>
      </w:r>
      <w:r>
        <w:rPr>
          <w:rFonts w:hint="eastAsia" w:ascii="仿宋" w:hAnsi="仿宋" w:eastAsia="仿宋" w:cs="仿宋"/>
          <w:color w:val="auto"/>
          <w:spacing w:val="-1"/>
          <w:sz w:val="24"/>
          <w:szCs w:val="24"/>
          <w:highlight w:val="none"/>
        </w:rPr>
        <w:t>误的内容，以及评标委员会认为供应商的报</w:t>
      </w:r>
      <w:r>
        <w:rPr>
          <w:rFonts w:hint="eastAsia" w:ascii="仿宋" w:hAnsi="仿宋" w:eastAsia="仿宋" w:cs="仿宋"/>
          <w:color w:val="auto"/>
          <w:sz w:val="24"/>
          <w:szCs w:val="24"/>
          <w:highlight w:val="none"/>
        </w:rPr>
        <w:t>价明显低于其他通过符合性审查供应商的报价，有</w:t>
      </w:r>
      <w:r>
        <w:rPr>
          <w:rFonts w:hint="eastAsia" w:ascii="仿宋" w:hAnsi="仿宋" w:eastAsia="仿宋" w:cs="仿宋"/>
          <w:color w:val="auto"/>
          <w:spacing w:val="-1"/>
          <w:sz w:val="24"/>
          <w:szCs w:val="24"/>
          <w:highlight w:val="none"/>
        </w:rPr>
        <w:t>可能影响履约的情况作必要的澄清、说明</w:t>
      </w:r>
      <w:r>
        <w:rPr>
          <w:rFonts w:hint="eastAsia" w:ascii="仿宋" w:hAnsi="仿宋" w:eastAsia="仿宋" w:cs="仿宋"/>
          <w:color w:val="auto"/>
          <w:sz w:val="24"/>
          <w:szCs w:val="24"/>
          <w:highlight w:val="none"/>
        </w:rPr>
        <w:t>或补正。供应商澄清、说明或补正应在评标委员会</w:t>
      </w:r>
      <w:r>
        <w:rPr>
          <w:rFonts w:hint="eastAsia" w:ascii="仿宋" w:hAnsi="仿宋" w:eastAsia="仿宋" w:cs="仿宋"/>
          <w:color w:val="auto"/>
          <w:spacing w:val="-1"/>
          <w:sz w:val="24"/>
          <w:szCs w:val="24"/>
          <w:highlight w:val="none"/>
        </w:rPr>
        <w:t>规定的时间内以书面方式进行，并不得超出响应文件范围或者改变响应文件的实质性内容。</w:t>
      </w:r>
    </w:p>
    <w:p w14:paraId="67ED0499">
      <w:pPr>
        <w:keepNext w:val="0"/>
        <w:keepLines w:val="0"/>
        <w:pageBreakBefore w:val="0"/>
        <w:widowControl/>
        <w:kinsoku w:val="0"/>
        <w:wordWrap/>
        <w:overflowPunct/>
        <w:topLinePunct w:val="0"/>
        <w:autoSpaceDE w:val="0"/>
        <w:autoSpaceDN w:val="0"/>
        <w:bidi w:val="0"/>
        <w:adjustRightInd w:val="0"/>
        <w:snapToGrid w:val="0"/>
        <w:spacing w:before="24" w:line="360" w:lineRule="auto"/>
        <w:ind w:left="43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20.2.2 供应商澄清、说明或补正将作为响应文件的一部分。</w:t>
      </w:r>
    </w:p>
    <w:p w14:paraId="7DB3ABA8">
      <w:pPr>
        <w:keepNext w:val="0"/>
        <w:keepLines w:val="0"/>
        <w:pageBreakBefore w:val="0"/>
        <w:widowControl/>
        <w:kinsoku w:val="0"/>
        <w:wordWrap/>
        <w:overflowPunct/>
        <w:topLinePunct w:val="0"/>
        <w:autoSpaceDE w:val="0"/>
        <w:autoSpaceDN w:val="0"/>
        <w:bidi w:val="0"/>
        <w:adjustRightInd w:val="0"/>
        <w:snapToGrid w:val="0"/>
        <w:spacing w:line="360" w:lineRule="auto"/>
        <w:ind w:left="38" w:firstLine="47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20.3响应文件报价出现前后不一致的，按照下列规定修正：</w:t>
      </w:r>
    </w:p>
    <w:p w14:paraId="3FE7C399">
      <w:pPr>
        <w:keepNext w:val="0"/>
        <w:keepLines w:val="0"/>
        <w:pageBreakBefore w:val="0"/>
        <w:widowControl/>
        <w:kinsoku w:val="0"/>
        <w:wordWrap/>
        <w:overflowPunct/>
        <w:topLinePunct w:val="0"/>
        <w:autoSpaceDE w:val="0"/>
        <w:autoSpaceDN w:val="0"/>
        <w:bidi w:val="0"/>
        <w:adjustRightInd w:val="0"/>
        <w:snapToGrid w:val="0"/>
        <w:spacing w:before="25" w:line="360" w:lineRule="auto"/>
        <w:ind w:left="49" w:right="182" w:firstLine="39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（1）响应文件中开标一览表（报价表）内容与响应文件中相应内容不一致的，以开标一</w:t>
      </w:r>
      <w:r>
        <w:rPr>
          <w:rFonts w:hint="eastAsia" w:ascii="仿宋" w:hAnsi="仿宋" w:eastAsia="仿宋" w:cs="仿宋"/>
          <w:color w:val="auto"/>
          <w:spacing w:val="-3"/>
          <w:sz w:val="24"/>
          <w:szCs w:val="24"/>
          <w:highlight w:val="none"/>
        </w:rPr>
        <w:t>览表（报价表）为准；</w:t>
      </w:r>
    </w:p>
    <w:p w14:paraId="29CB8B2C">
      <w:pPr>
        <w:keepNext w:val="0"/>
        <w:keepLines w:val="0"/>
        <w:pageBreakBefore w:val="0"/>
        <w:widowControl/>
        <w:kinsoku w:val="0"/>
        <w:wordWrap/>
        <w:overflowPunct/>
        <w:topLinePunct w:val="0"/>
        <w:autoSpaceDE w:val="0"/>
        <w:autoSpaceDN w:val="0"/>
        <w:bidi w:val="0"/>
        <w:adjustRightInd w:val="0"/>
        <w:snapToGrid w:val="0"/>
        <w:spacing w:before="21"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（2）大写金额和小写金额不一致的，以大写金额为准；</w:t>
      </w:r>
    </w:p>
    <w:p w14:paraId="64933851">
      <w:pPr>
        <w:keepNext w:val="0"/>
        <w:keepLines w:val="0"/>
        <w:pageBreakBefore w:val="0"/>
        <w:widowControl/>
        <w:kinsoku w:val="0"/>
        <w:wordWrap/>
        <w:overflowPunct/>
        <w:topLinePunct w:val="0"/>
        <w:autoSpaceDE w:val="0"/>
        <w:autoSpaceDN w:val="0"/>
        <w:bidi w:val="0"/>
        <w:adjustRightInd w:val="0"/>
        <w:snapToGrid w:val="0"/>
        <w:spacing w:before="51" w:line="360" w:lineRule="auto"/>
        <w:ind w:left="42" w:right="203" w:firstLine="422"/>
        <w:jc w:val="both"/>
        <w:textAlignment w:val="baseline"/>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（3）单价金额小数点或者百分比有明显错位的，以开标一览表的总价为准，并修改单价；</w:t>
      </w:r>
    </w:p>
    <w:p w14:paraId="074B2460">
      <w:pPr>
        <w:keepNext w:val="0"/>
        <w:keepLines w:val="0"/>
        <w:pageBreakBefore w:val="0"/>
        <w:widowControl/>
        <w:kinsoku w:val="0"/>
        <w:wordWrap/>
        <w:overflowPunct/>
        <w:topLinePunct w:val="0"/>
        <w:autoSpaceDE w:val="0"/>
        <w:autoSpaceDN w:val="0"/>
        <w:bidi w:val="0"/>
        <w:adjustRightInd w:val="0"/>
        <w:snapToGrid w:val="0"/>
        <w:spacing w:before="51" w:line="360" w:lineRule="auto"/>
        <w:ind w:left="42" w:right="203" w:firstLine="422"/>
        <w:jc w:val="both"/>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（4）总价金额与按单价汇总金额不一致的，以单价金额计算结果为准。</w:t>
      </w:r>
    </w:p>
    <w:p w14:paraId="1F5E9737">
      <w:pPr>
        <w:keepNext w:val="0"/>
        <w:keepLines w:val="0"/>
        <w:pageBreakBefore w:val="0"/>
        <w:widowControl/>
        <w:kinsoku w:val="0"/>
        <w:wordWrap/>
        <w:overflowPunct/>
        <w:topLinePunct w:val="0"/>
        <w:autoSpaceDE w:val="0"/>
        <w:autoSpaceDN w:val="0"/>
        <w:bidi w:val="0"/>
        <w:adjustRightInd w:val="0"/>
        <w:snapToGrid w:val="0"/>
        <w:spacing w:before="51" w:line="360" w:lineRule="auto"/>
        <w:ind w:left="42" w:right="203" w:firstLine="422"/>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同时出现两种以上不一致的，按照前款规定的顺序修</w:t>
      </w:r>
      <w:r>
        <w:rPr>
          <w:rFonts w:hint="eastAsia" w:ascii="仿宋" w:hAnsi="仿宋" w:eastAsia="仿宋" w:cs="仿宋"/>
          <w:color w:val="auto"/>
          <w:spacing w:val="-2"/>
          <w:sz w:val="24"/>
          <w:szCs w:val="24"/>
          <w:highlight w:val="none"/>
        </w:rPr>
        <w:t>正。修正后的报价按照第20.2条的</w:t>
      </w:r>
      <w:r>
        <w:rPr>
          <w:rFonts w:hint="eastAsia" w:ascii="仿宋" w:hAnsi="仿宋" w:eastAsia="仿宋" w:cs="仿宋"/>
          <w:color w:val="auto"/>
          <w:sz w:val="24"/>
          <w:szCs w:val="24"/>
          <w:highlight w:val="none"/>
        </w:rPr>
        <w:t>规定经供应商确认后产生约束力，供应商不确认的，</w:t>
      </w:r>
      <w:r>
        <w:rPr>
          <w:rFonts w:hint="eastAsia" w:ascii="仿宋" w:hAnsi="仿宋" w:eastAsia="仿宋" w:cs="仿宋"/>
          <w:color w:val="auto"/>
          <w:spacing w:val="-1"/>
          <w:sz w:val="24"/>
          <w:szCs w:val="24"/>
          <w:highlight w:val="none"/>
        </w:rPr>
        <w:t>其响应文件将被认定为无效。对不同文字文本响应文件的解释发生异议的，以中文文本为准。</w:t>
      </w:r>
    </w:p>
    <w:p w14:paraId="7AE96031">
      <w:pPr>
        <w:keepNext w:val="0"/>
        <w:keepLines w:val="0"/>
        <w:pageBreakBefore w:val="0"/>
        <w:widowControl/>
        <w:kinsoku w:val="0"/>
        <w:wordWrap/>
        <w:overflowPunct/>
        <w:topLinePunct w:val="0"/>
        <w:autoSpaceDE w:val="0"/>
        <w:autoSpaceDN w:val="0"/>
        <w:bidi w:val="0"/>
        <w:adjustRightInd w:val="0"/>
        <w:snapToGrid w:val="0"/>
        <w:spacing w:before="21" w:line="360" w:lineRule="auto"/>
        <w:ind w:right="203"/>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20.4供应商为提供服务所伴随的货物如被列入财政部与国家主</w:t>
      </w:r>
      <w:r>
        <w:rPr>
          <w:rFonts w:hint="eastAsia" w:ascii="仿宋" w:hAnsi="仿宋" w:eastAsia="仿宋" w:cs="仿宋"/>
          <w:color w:val="auto"/>
          <w:spacing w:val="-1"/>
          <w:sz w:val="24"/>
          <w:szCs w:val="24"/>
          <w:highlight w:val="none"/>
        </w:rPr>
        <w:t>管部门颁发的节能产品或环境</w:t>
      </w:r>
      <w:r>
        <w:rPr>
          <w:rFonts w:hint="eastAsia" w:ascii="仿宋" w:hAnsi="仿宋" w:eastAsia="仿宋" w:cs="仿宋"/>
          <w:color w:val="auto"/>
          <w:sz w:val="24"/>
          <w:szCs w:val="24"/>
          <w:highlight w:val="none"/>
        </w:rPr>
        <w:t>标志产品品目清单或无线局域网产品清单，应提供处</w:t>
      </w:r>
      <w:r>
        <w:rPr>
          <w:rFonts w:hint="eastAsia" w:ascii="仿宋" w:hAnsi="仿宋" w:eastAsia="仿宋" w:cs="仿宋"/>
          <w:color w:val="auto"/>
          <w:spacing w:val="-1"/>
          <w:sz w:val="24"/>
          <w:szCs w:val="24"/>
          <w:highlight w:val="none"/>
        </w:rPr>
        <w:t>于有效期之内认证证书等相关证明，在评审时予以优先采购，具体优先采购办法见第</w:t>
      </w:r>
      <w:r>
        <w:rPr>
          <w:rFonts w:hint="eastAsia" w:ascii="仿宋" w:hAnsi="仿宋" w:eastAsia="仿宋" w:cs="仿宋"/>
          <w:color w:val="auto"/>
          <w:spacing w:val="-1"/>
          <w:sz w:val="24"/>
          <w:szCs w:val="24"/>
          <w:highlight w:val="none"/>
          <w:lang w:eastAsia="zh-CN"/>
        </w:rPr>
        <w:t>四</w:t>
      </w:r>
      <w:r>
        <w:rPr>
          <w:rFonts w:hint="eastAsia" w:ascii="仿宋" w:hAnsi="仿宋" w:eastAsia="仿宋" w:cs="仿宋"/>
          <w:color w:val="auto"/>
          <w:spacing w:val="-1"/>
          <w:sz w:val="24"/>
          <w:szCs w:val="24"/>
          <w:highlight w:val="none"/>
        </w:rPr>
        <w:t>章评审方法和标准。</w:t>
      </w:r>
    </w:p>
    <w:p w14:paraId="6B3D177A">
      <w:pPr>
        <w:keepNext w:val="0"/>
        <w:keepLines w:val="0"/>
        <w:pageBreakBefore w:val="0"/>
        <w:widowControl/>
        <w:kinsoku w:val="0"/>
        <w:wordWrap/>
        <w:overflowPunct/>
        <w:topLinePunct w:val="0"/>
        <w:autoSpaceDE w:val="0"/>
        <w:autoSpaceDN w:val="0"/>
        <w:bidi w:val="0"/>
        <w:adjustRightInd w:val="0"/>
        <w:snapToGrid w:val="0"/>
        <w:spacing w:before="21" w:line="360" w:lineRule="auto"/>
        <w:ind w:firstLine="472"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如供应商为提供服务所伴随的货物为政府强制采购的产品，供应商所投产品应属于品目</w:t>
      </w:r>
      <w:r>
        <w:rPr>
          <w:rFonts w:hint="eastAsia" w:ascii="仿宋" w:hAnsi="仿宋" w:eastAsia="仿宋" w:cs="仿宋"/>
          <w:color w:val="auto"/>
          <w:spacing w:val="-1"/>
          <w:sz w:val="24"/>
          <w:szCs w:val="24"/>
          <w:highlight w:val="none"/>
        </w:rPr>
        <w:t>清单的强制采购部分。供应商应提供有效期内的认证证书</w:t>
      </w:r>
      <w:r>
        <w:rPr>
          <w:rFonts w:hint="eastAsia" w:ascii="仿宋" w:hAnsi="仿宋" w:eastAsia="仿宋" w:cs="仿宋"/>
          <w:color w:val="auto"/>
          <w:spacing w:val="-2"/>
          <w:sz w:val="24"/>
          <w:szCs w:val="24"/>
          <w:highlight w:val="none"/>
        </w:rPr>
        <w:t>，否则其响应文件将被认定为无效。</w:t>
      </w:r>
    </w:p>
    <w:p w14:paraId="1A5D3074">
      <w:pPr>
        <w:keepNext w:val="0"/>
        <w:keepLines w:val="0"/>
        <w:pageBreakBefore w:val="0"/>
        <w:widowControl/>
        <w:kinsoku w:val="0"/>
        <w:wordWrap/>
        <w:overflowPunct/>
        <w:topLinePunct w:val="0"/>
        <w:autoSpaceDE w:val="0"/>
        <w:autoSpaceDN w:val="0"/>
        <w:bidi w:val="0"/>
        <w:adjustRightInd w:val="0"/>
        <w:snapToGrid w:val="0"/>
        <w:spacing w:before="25" w:line="360" w:lineRule="auto"/>
        <w:ind w:left="42" w:right="257" w:firstLine="39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如供应商为提供服务所伴随的货物属于信息</w:t>
      </w:r>
      <w:r>
        <w:rPr>
          <w:rFonts w:hint="eastAsia" w:ascii="仿宋" w:hAnsi="仿宋" w:eastAsia="仿宋" w:cs="仿宋"/>
          <w:color w:val="auto"/>
          <w:spacing w:val="-1"/>
          <w:sz w:val="24"/>
          <w:szCs w:val="24"/>
          <w:highlight w:val="none"/>
        </w:rPr>
        <w:t>安全产品的，供应商所投产品应为经国家认</w:t>
      </w:r>
      <w:r>
        <w:rPr>
          <w:rFonts w:hint="eastAsia" w:ascii="仿宋" w:hAnsi="仿宋" w:eastAsia="仿宋" w:cs="仿宋"/>
          <w:color w:val="auto"/>
          <w:spacing w:val="-2"/>
          <w:sz w:val="24"/>
          <w:szCs w:val="24"/>
          <w:highlight w:val="none"/>
        </w:rPr>
        <w:t>证的信息安全产品，并提供由中国信息安全认证中心按国家标准认证颁发的有效认证证书，否则其响应文件将被认定为无效。</w:t>
      </w:r>
    </w:p>
    <w:p w14:paraId="59299347">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21.偏离</w:t>
      </w:r>
    </w:p>
    <w:p w14:paraId="45CB0EBB">
      <w:pPr>
        <w:keepNext w:val="0"/>
        <w:keepLines w:val="0"/>
        <w:pageBreakBefore w:val="0"/>
        <w:widowControl/>
        <w:kinsoku w:val="0"/>
        <w:wordWrap/>
        <w:overflowPunct/>
        <w:topLinePunct w:val="0"/>
        <w:autoSpaceDE w:val="0"/>
        <w:autoSpaceDN w:val="0"/>
        <w:bidi w:val="0"/>
        <w:adjustRightInd w:val="0"/>
        <w:snapToGrid w:val="0"/>
        <w:spacing w:before="47" w:line="360" w:lineRule="auto"/>
        <w:ind w:left="444"/>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响应文件中存在对征集文件的任何负偏离，其响应文件将被认定为无效。</w:t>
      </w:r>
    </w:p>
    <w:p w14:paraId="54CEC39D">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22.无效响应</w:t>
      </w:r>
    </w:p>
    <w:p w14:paraId="44C51E4A">
      <w:pPr>
        <w:keepNext w:val="0"/>
        <w:keepLines w:val="0"/>
        <w:pageBreakBefore w:val="0"/>
        <w:widowControl/>
        <w:kinsoku w:val="0"/>
        <w:wordWrap/>
        <w:overflowPunct/>
        <w:topLinePunct w:val="0"/>
        <w:autoSpaceDE w:val="0"/>
        <w:autoSpaceDN w:val="0"/>
        <w:bidi w:val="0"/>
        <w:adjustRightInd w:val="0"/>
        <w:snapToGrid w:val="0"/>
        <w:spacing w:before="47" w:line="360" w:lineRule="auto"/>
        <w:ind w:left="43" w:right="203" w:hanging="5"/>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22.1在比较与评价之前，根据征集文件的规定，评标委员会要</w:t>
      </w:r>
      <w:r>
        <w:rPr>
          <w:rFonts w:hint="eastAsia" w:ascii="仿宋" w:hAnsi="仿宋" w:eastAsia="仿宋" w:cs="仿宋"/>
          <w:color w:val="auto"/>
          <w:spacing w:val="-1"/>
          <w:sz w:val="24"/>
          <w:szCs w:val="24"/>
          <w:highlight w:val="none"/>
        </w:rPr>
        <w:t>审查每份响应文件是否响应了</w:t>
      </w:r>
      <w:r>
        <w:rPr>
          <w:rFonts w:hint="eastAsia" w:ascii="仿宋" w:hAnsi="仿宋" w:eastAsia="仿宋" w:cs="仿宋"/>
          <w:color w:val="auto"/>
          <w:sz w:val="24"/>
          <w:szCs w:val="24"/>
          <w:highlight w:val="none"/>
        </w:rPr>
        <w:t>征集文件的要求。供应商不得通过修正或撤销不符</w:t>
      </w:r>
      <w:r>
        <w:rPr>
          <w:rFonts w:hint="eastAsia" w:ascii="仿宋" w:hAnsi="仿宋" w:eastAsia="仿宋" w:cs="仿宋"/>
          <w:color w:val="auto"/>
          <w:spacing w:val="-1"/>
          <w:sz w:val="24"/>
          <w:szCs w:val="24"/>
          <w:highlight w:val="none"/>
        </w:rPr>
        <w:t>合要求的偏离，从而使其响应文件成为实</w:t>
      </w:r>
      <w:r>
        <w:rPr>
          <w:rFonts w:hint="eastAsia" w:ascii="仿宋" w:hAnsi="仿宋" w:eastAsia="仿宋" w:cs="仿宋"/>
          <w:color w:val="auto"/>
          <w:spacing w:val="-2"/>
          <w:sz w:val="24"/>
          <w:szCs w:val="24"/>
          <w:highlight w:val="none"/>
        </w:rPr>
        <w:t>质上响应的响应文件。</w:t>
      </w:r>
    </w:p>
    <w:p w14:paraId="36793218">
      <w:pPr>
        <w:keepNext w:val="0"/>
        <w:keepLines w:val="0"/>
        <w:pageBreakBefore w:val="0"/>
        <w:widowControl/>
        <w:kinsoku w:val="0"/>
        <w:wordWrap/>
        <w:overflowPunct/>
        <w:topLinePunct w:val="0"/>
        <w:autoSpaceDE w:val="0"/>
        <w:autoSpaceDN w:val="0"/>
        <w:bidi w:val="0"/>
        <w:adjustRightInd w:val="0"/>
        <w:snapToGrid w:val="0"/>
        <w:spacing w:before="23" w:line="360" w:lineRule="auto"/>
        <w:ind w:right="1766" w:firstLine="472"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评标委员会决定响应文件的响应性只根据征集文件要求和响应文件内容</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1"/>
          <w:sz w:val="24"/>
          <w:szCs w:val="24"/>
          <w:highlight w:val="none"/>
        </w:rPr>
        <w:t>22.2如发现下列情况之一的，其响应文件将被认定为无效：</w:t>
      </w:r>
    </w:p>
    <w:p w14:paraId="40533419">
      <w:pPr>
        <w:keepNext w:val="0"/>
        <w:keepLines w:val="0"/>
        <w:pageBreakBefore w:val="0"/>
        <w:widowControl/>
        <w:kinsoku w:val="0"/>
        <w:wordWrap/>
        <w:overflowPunct/>
        <w:topLinePunct w:val="0"/>
        <w:autoSpaceDE w:val="0"/>
        <w:autoSpaceDN w:val="0"/>
        <w:bidi w:val="0"/>
        <w:adjustRightInd w:val="0"/>
        <w:snapToGrid w:val="0"/>
        <w:spacing w:before="23"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（1）未按照征集文件规定要求签署、盖章的；</w:t>
      </w:r>
    </w:p>
    <w:p w14:paraId="1D22CAA8">
      <w:pPr>
        <w:keepNext w:val="0"/>
        <w:keepLines w:val="0"/>
        <w:pageBreakBefore w:val="0"/>
        <w:widowControl/>
        <w:kinsoku w:val="0"/>
        <w:wordWrap/>
        <w:overflowPunct/>
        <w:topLinePunct w:val="0"/>
        <w:autoSpaceDE w:val="0"/>
        <w:autoSpaceDN w:val="0"/>
        <w:bidi w:val="0"/>
        <w:adjustRightInd w:val="0"/>
        <w:snapToGrid w:val="0"/>
        <w:spacing w:before="24"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（2）响应文件的资格证明材料不满足征集文件中的实质性要求；</w:t>
      </w:r>
    </w:p>
    <w:p w14:paraId="70A9383A">
      <w:pPr>
        <w:keepNext w:val="0"/>
        <w:keepLines w:val="0"/>
        <w:pageBreakBefore w:val="0"/>
        <w:widowControl/>
        <w:kinsoku w:val="0"/>
        <w:wordWrap/>
        <w:overflowPunct/>
        <w:topLinePunct w:val="0"/>
        <w:autoSpaceDE w:val="0"/>
        <w:autoSpaceDN w:val="0"/>
        <w:bidi w:val="0"/>
        <w:adjustRightInd w:val="0"/>
        <w:snapToGrid w:val="0"/>
        <w:spacing w:before="1"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（3）属于串通投标，或者依法被视为串通投标；</w:t>
      </w:r>
    </w:p>
    <w:p w14:paraId="7213B115">
      <w:pPr>
        <w:keepNext w:val="0"/>
        <w:keepLines w:val="0"/>
        <w:pageBreakBefore w:val="0"/>
        <w:widowControl/>
        <w:kinsoku w:val="0"/>
        <w:wordWrap/>
        <w:overflowPunct/>
        <w:topLinePunct w:val="0"/>
        <w:autoSpaceDE w:val="0"/>
        <w:autoSpaceDN w:val="0"/>
        <w:bidi w:val="0"/>
        <w:adjustRightInd w:val="0"/>
        <w:snapToGrid w:val="0"/>
        <w:spacing w:before="28" w:line="360" w:lineRule="auto"/>
        <w:ind w:left="42" w:right="169" w:firstLine="398"/>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（4）投标报价不符合征集文件的框架采购协议价格或者评标委员会认为供应商的报价明</w:t>
      </w:r>
      <w:r>
        <w:rPr>
          <w:rFonts w:hint="eastAsia" w:ascii="仿宋" w:hAnsi="仿宋" w:eastAsia="仿宋" w:cs="仿宋"/>
          <w:color w:val="auto"/>
          <w:sz w:val="24"/>
          <w:szCs w:val="24"/>
          <w:highlight w:val="none"/>
        </w:rPr>
        <w:t>显低于其他通过符合性审查供应商的报价，有可能影</w:t>
      </w:r>
      <w:r>
        <w:rPr>
          <w:rFonts w:hint="eastAsia" w:ascii="仿宋" w:hAnsi="仿宋" w:eastAsia="仿宋" w:cs="仿宋"/>
          <w:color w:val="auto"/>
          <w:spacing w:val="-1"/>
          <w:sz w:val="24"/>
          <w:szCs w:val="24"/>
          <w:highlight w:val="none"/>
        </w:rPr>
        <w:t>响履约的，且供应商未按照规定证明其</w:t>
      </w:r>
      <w:r>
        <w:rPr>
          <w:rFonts w:hint="eastAsia" w:ascii="仿宋" w:hAnsi="仿宋" w:eastAsia="仿宋" w:cs="仿宋"/>
          <w:color w:val="auto"/>
          <w:spacing w:val="-3"/>
          <w:sz w:val="24"/>
          <w:szCs w:val="24"/>
          <w:highlight w:val="none"/>
        </w:rPr>
        <w:t>报价合理性的；</w:t>
      </w:r>
    </w:p>
    <w:p w14:paraId="4E9DA83C">
      <w:pPr>
        <w:keepNext w:val="0"/>
        <w:keepLines w:val="0"/>
        <w:pageBreakBefore w:val="0"/>
        <w:widowControl/>
        <w:kinsoku w:val="0"/>
        <w:wordWrap/>
        <w:overflowPunct/>
        <w:topLinePunct w:val="0"/>
        <w:autoSpaceDE w:val="0"/>
        <w:autoSpaceDN w:val="0"/>
        <w:bidi w:val="0"/>
        <w:adjustRightInd w:val="0"/>
        <w:snapToGrid w:val="0"/>
        <w:spacing w:before="23"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（5）响应文件含有征集人不能接受的附加条件的；</w:t>
      </w:r>
    </w:p>
    <w:p w14:paraId="40A8CDAD">
      <w:pPr>
        <w:keepNext w:val="0"/>
        <w:keepLines w:val="0"/>
        <w:pageBreakBefore w:val="0"/>
        <w:widowControl/>
        <w:kinsoku w:val="0"/>
        <w:wordWrap/>
        <w:overflowPunct/>
        <w:topLinePunct w:val="0"/>
        <w:autoSpaceDE w:val="0"/>
        <w:autoSpaceDN w:val="0"/>
        <w:bidi w:val="0"/>
        <w:adjustRightInd w:val="0"/>
        <w:snapToGrid w:val="0"/>
        <w:spacing w:before="1"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（6）属于征集文件规定的其他响应无效情形；</w:t>
      </w:r>
    </w:p>
    <w:p w14:paraId="44F6CFB6">
      <w:pPr>
        <w:keepNext w:val="0"/>
        <w:keepLines w:val="0"/>
        <w:pageBreakBefore w:val="0"/>
        <w:widowControl/>
        <w:kinsoku w:val="0"/>
        <w:wordWrap/>
        <w:overflowPunct/>
        <w:topLinePunct w:val="0"/>
        <w:autoSpaceDE w:val="0"/>
        <w:autoSpaceDN w:val="0"/>
        <w:bidi w:val="0"/>
        <w:adjustRightInd w:val="0"/>
        <w:snapToGrid w:val="0"/>
        <w:spacing w:before="22"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（7）不符合法规和征集文件中规定的其他实质性要求的。</w:t>
      </w:r>
    </w:p>
    <w:p w14:paraId="5948C23C">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23.比较与评价</w:t>
      </w:r>
    </w:p>
    <w:p w14:paraId="3A89D9FE">
      <w:pPr>
        <w:keepNext w:val="0"/>
        <w:keepLines w:val="0"/>
        <w:pageBreakBefore w:val="0"/>
        <w:widowControl/>
        <w:kinsoku w:val="0"/>
        <w:wordWrap/>
        <w:overflowPunct/>
        <w:topLinePunct w:val="0"/>
        <w:autoSpaceDE w:val="0"/>
        <w:autoSpaceDN w:val="0"/>
        <w:bidi w:val="0"/>
        <w:adjustRightInd w:val="0"/>
        <w:snapToGrid w:val="0"/>
        <w:spacing w:before="46" w:line="360" w:lineRule="auto"/>
        <w:ind w:left="44" w:right="203" w:hanging="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23.1经符合性审查合格的响应文件，评标委员会将根据征集文</w:t>
      </w:r>
      <w:r>
        <w:rPr>
          <w:rFonts w:hint="eastAsia" w:ascii="仿宋" w:hAnsi="仿宋" w:eastAsia="仿宋" w:cs="仿宋"/>
          <w:color w:val="auto"/>
          <w:spacing w:val="-1"/>
          <w:sz w:val="24"/>
          <w:szCs w:val="24"/>
          <w:highlight w:val="none"/>
        </w:rPr>
        <w:t>件确定的评审方法和标准，对其商务技术部分作进一步的比较和评价。</w:t>
      </w:r>
    </w:p>
    <w:p w14:paraId="2CA71BE7">
      <w:pPr>
        <w:keepNext w:val="0"/>
        <w:keepLines w:val="0"/>
        <w:pageBreakBefore w:val="0"/>
        <w:widowControl/>
        <w:kinsoku w:val="0"/>
        <w:wordWrap/>
        <w:overflowPunct/>
        <w:topLinePunct w:val="0"/>
        <w:autoSpaceDE w:val="0"/>
        <w:autoSpaceDN w:val="0"/>
        <w:bidi w:val="0"/>
        <w:adjustRightInd w:val="0"/>
        <w:snapToGrid w:val="0"/>
        <w:spacing w:before="22" w:line="360" w:lineRule="auto"/>
        <w:ind w:left="47" w:right="203" w:hanging="9"/>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23.2评审严格按照《政府采购框架协议采购方式管理暂行办法</w:t>
      </w:r>
      <w:r>
        <w:rPr>
          <w:rFonts w:hint="eastAsia" w:ascii="仿宋" w:hAnsi="仿宋" w:eastAsia="仿宋" w:cs="仿宋"/>
          <w:color w:val="auto"/>
          <w:spacing w:val="-1"/>
          <w:sz w:val="24"/>
          <w:szCs w:val="24"/>
          <w:highlight w:val="none"/>
        </w:rPr>
        <w:t>》（中华人民共和国财政部令</w:t>
      </w:r>
      <w:r>
        <w:rPr>
          <w:rFonts w:hint="eastAsia" w:ascii="仿宋" w:hAnsi="仿宋" w:eastAsia="仿宋" w:cs="仿宋"/>
          <w:color w:val="auto"/>
          <w:sz w:val="24"/>
          <w:szCs w:val="24"/>
          <w:highlight w:val="none"/>
        </w:rPr>
        <w:t>第110号）和征集文件的要求和条件进行</w:t>
      </w:r>
      <w:r>
        <w:rPr>
          <w:rFonts w:hint="eastAsia" w:ascii="仿宋" w:hAnsi="仿宋" w:eastAsia="仿宋" w:cs="仿宋"/>
          <w:color w:val="auto"/>
          <w:spacing w:val="-1"/>
          <w:sz w:val="24"/>
          <w:szCs w:val="24"/>
          <w:highlight w:val="none"/>
        </w:rPr>
        <w:t>。根据实际情况，在</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中规定采用下列一种评审方法，详细评审标准见征集文件第</w:t>
      </w:r>
      <w:r>
        <w:rPr>
          <w:rFonts w:hint="eastAsia" w:ascii="仿宋" w:hAnsi="仿宋" w:eastAsia="仿宋" w:cs="仿宋"/>
          <w:color w:val="auto"/>
          <w:spacing w:val="-1"/>
          <w:sz w:val="24"/>
          <w:szCs w:val="24"/>
          <w:highlight w:val="none"/>
          <w:lang w:eastAsia="zh-CN"/>
        </w:rPr>
        <w:t>四</w:t>
      </w:r>
      <w:r>
        <w:rPr>
          <w:rFonts w:hint="eastAsia" w:ascii="仿宋" w:hAnsi="仿宋" w:eastAsia="仿宋" w:cs="仿宋"/>
          <w:color w:val="auto"/>
          <w:spacing w:val="-1"/>
          <w:sz w:val="24"/>
          <w:szCs w:val="24"/>
          <w:highlight w:val="none"/>
        </w:rPr>
        <w:t>章：</w:t>
      </w:r>
    </w:p>
    <w:p w14:paraId="046B54E3">
      <w:pPr>
        <w:keepNext w:val="0"/>
        <w:keepLines w:val="0"/>
        <w:pageBreakBefore w:val="0"/>
        <w:widowControl/>
        <w:kinsoku w:val="0"/>
        <w:wordWrap/>
        <w:overflowPunct/>
        <w:topLinePunct w:val="0"/>
        <w:autoSpaceDE w:val="0"/>
        <w:autoSpaceDN w:val="0"/>
        <w:bidi w:val="0"/>
        <w:adjustRightInd w:val="0"/>
        <w:snapToGrid w:val="0"/>
        <w:spacing w:before="26" w:line="360" w:lineRule="auto"/>
        <w:ind w:left="42" w:right="203" w:firstLine="398"/>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（1）价格优先法，是指对满足采购需求且响应报</w:t>
      </w:r>
      <w:r>
        <w:rPr>
          <w:rFonts w:hint="eastAsia" w:ascii="仿宋" w:hAnsi="仿宋" w:eastAsia="仿宋" w:cs="仿宋"/>
          <w:color w:val="auto"/>
          <w:spacing w:val="-2"/>
          <w:sz w:val="24"/>
          <w:szCs w:val="24"/>
          <w:highlight w:val="none"/>
        </w:rPr>
        <w:t>价不超过最高限制单价的货物、服务，</w:t>
      </w:r>
      <w:r>
        <w:rPr>
          <w:rFonts w:hint="eastAsia" w:ascii="仿宋" w:hAnsi="仿宋" w:eastAsia="仿宋" w:cs="仿宋"/>
          <w:color w:val="auto"/>
          <w:sz w:val="24"/>
          <w:szCs w:val="24"/>
          <w:highlight w:val="none"/>
        </w:rPr>
        <w:t>按照响应报价从低到高排序，根据征集文件规定的淘</w:t>
      </w:r>
      <w:r>
        <w:rPr>
          <w:rFonts w:hint="eastAsia" w:ascii="仿宋" w:hAnsi="仿宋" w:eastAsia="仿宋" w:cs="仿宋"/>
          <w:color w:val="auto"/>
          <w:spacing w:val="-1"/>
          <w:sz w:val="24"/>
          <w:szCs w:val="24"/>
          <w:highlight w:val="none"/>
        </w:rPr>
        <w:t>汰率或者入围供应商数量上限，确定入</w:t>
      </w:r>
      <w:r>
        <w:rPr>
          <w:rFonts w:hint="eastAsia" w:ascii="仿宋" w:hAnsi="仿宋" w:eastAsia="仿宋" w:cs="仿宋"/>
          <w:color w:val="auto"/>
          <w:spacing w:val="-2"/>
          <w:sz w:val="24"/>
          <w:szCs w:val="24"/>
          <w:highlight w:val="none"/>
        </w:rPr>
        <w:t>围供应商的评审方法。</w:t>
      </w:r>
    </w:p>
    <w:p w14:paraId="79C5E3CE">
      <w:pPr>
        <w:keepNext w:val="0"/>
        <w:keepLines w:val="0"/>
        <w:pageBreakBefore w:val="0"/>
        <w:widowControl/>
        <w:kinsoku w:val="0"/>
        <w:wordWrap/>
        <w:overflowPunct/>
        <w:topLinePunct w:val="0"/>
        <w:autoSpaceDE w:val="0"/>
        <w:autoSpaceDN w:val="0"/>
        <w:bidi w:val="0"/>
        <w:adjustRightInd w:val="0"/>
        <w:snapToGrid w:val="0"/>
        <w:spacing w:before="25" w:line="360" w:lineRule="auto"/>
        <w:ind w:left="42" w:right="169" w:firstLine="399"/>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（2）质量优先法，是指对满足采购需求且响应报价不超过最高限制单价的货物、服务进</w:t>
      </w:r>
      <w:r>
        <w:rPr>
          <w:rFonts w:hint="eastAsia" w:ascii="仿宋" w:hAnsi="仿宋" w:eastAsia="仿宋" w:cs="仿宋"/>
          <w:color w:val="auto"/>
          <w:sz w:val="24"/>
          <w:szCs w:val="24"/>
          <w:highlight w:val="none"/>
        </w:rPr>
        <w:t>行质量综合评分，按照质量评分从高到低排序，根据</w:t>
      </w:r>
      <w:r>
        <w:rPr>
          <w:rFonts w:hint="eastAsia" w:ascii="仿宋" w:hAnsi="仿宋" w:eastAsia="仿宋" w:cs="仿宋"/>
          <w:color w:val="auto"/>
          <w:spacing w:val="-1"/>
          <w:sz w:val="24"/>
          <w:szCs w:val="24"/>
          <w:highlight w:val="none"/>
        </w:rPr>
        <w:t>征集文件规定的淘汰率或者入围供应商数量上限，确定入围供应商的评审方法。</w:t>
      </w:r>
    </w:p>
    <w:p w14:paraId="7057E253">
      <w:pPr>
        <w:keepNext w:val="0"/>
        <w:keepLines w:val="0"/>
        <w:pageBreakBefore w:val="0"/>
        <w:widowControl/>
        <w:kinsoku w:val="0"/>
        <w:wordWrap/>
        <w:overflowPunct/>
        <w:topLinePunct w:val="0"/>
        <w:autoSpaceDE w:val="0"/>
        <w:autoSpaceDN w:val="0"/>
        <w:bidi w:val="0"/>
        <w:adjustRightInd w:val="0"/>
        <w:snapToGrid w:val="0"/>
        <w:spacing w:before="21" w:line="360" w:lineRule="auto"/>
        <w:ind w:left="42" w:right="203" w:hanging="4"/>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23.3根据《关于进一步加大政府采购支持中小企业力度的通知》（财库〔2022〕19号）、《</w:t>
      </w:r>
      <w:r>
        <w:rPr>
          <w:rFonts w:hint="eastAsia" w:ascii="仿宋" w:hAnsi="仿宋" w:eastAsia="仿宋" w:cs="仿宋"/>
          <w:color w:val="auto"/>
          <w:sz w:val="24"/>
          <w:szCs w:val="24"/>
          <w:highlight w:val="none"/>
        </w:rPr>
        <w:t>政府采购促进中小企业发展管理办法》（财库[2020]4</w:t>
      </w:r>
      <w:r>
        <w:rPr>
          <w:rFonts w:hint="eastAsia" w:ascii="仿宋" w:hAnsi="仿宋" w:eastAsia="仿宋" w:cs="仿宋"/>
          <w:color w:val="auto"/>
          <w:spacing w:val="-1"/>
          <w:sz w:val="24"/>
          <w:szCs w:val="24"/>
          <w:highlight w:val="none"/>
        </w:rPr>
        <w:t>6号）、《财政部司法部关于政府采购</w:t>
      </w:r>
      <w:r>
        <w:rPr>
          <w:rFonts w:hint="eastAsia" w:ascii="仿宋" w:hAnsi="仿宋" w:eastAsia="仿宋" w:cs="仿宋"/>
          <w:color w:val="auto"/>
          <w:sz w:val="24"/>
          <w:szCs w:val="24"/>
          <w:highlight w:val="none"/>
        </w:rPr>
        <w:t>支持监狱企业发展有关问题的通知》（财库〔2014〕6</w:t>
      </w:r>
      <w:r>
        <w:rPr>
          <w:rFonts w:hint="eastAsia" w:ascii="仿宋" w:hAnsi="仿宋" w:eastAsia="仿宋" w:cs="仿宋"/>
          <w:color w:val="auto"/>
          <w:spacing w:val="-1"/>
          <w:sz w:val="24"/>
          <w:szCs w:val="24"/>
          <w:highlight w:val="none"/>
        </w:rPr>
        <w:t>8号）和《三部门联合发布关于促进残</w:t>
      </w:r>
      <w:r>
        <w:rPr>
          <w:rFonts w:hint="eastAsia" w:ascii="仿宋" w:hAnsi="仿宋" w:eastAsia="仿宋" w:cs="仿宋"/>
          <w:color w:val="auto"/>
          <w:sz w:val="24"/>
          <w:szCs w:val="24"/>
          <w:highlight w:val="none"/>
        </w:rPr>
        <w:t>疾人就业政府采购政策的通知》（财库〔2017〕141</w:t>
      </w:r>
      <w:r>
        <w:rPr>
          <w:rFonts w:hint="eastAsia" w:ascii="仿宋" w:hAnsi="仿宋" w:eastAsia="仿宋" w:cs="仿宋"/>
          <w:color w:val="auto"/>
          <w:spacing w:val="-1"/>
          <w:sz w:val="24"/>
          <w:szCs w:val="24"/>
          <w:highlight w:val="none"/>
        </w:rPr>
        <w:t>号）的规定，对满足价格扣除条件且在</w:t>
      </w:r>
      <w:r>
        <w:rPr>
          <w:rFonts w:hint="eastAsia" w:ascii="仿宋" w:hAnsi="仿宋" w:eastAsia="仿宋" w:cs="仿宋"/>
          <w:color w:val="auto"/>
          <w:sz w:val="24"/>
          <w:szCs w:val="24"/>
          <w:highlight w:val="none"/>
        </w:rPr>
        <w:t>响应文件中提交了《中小</w:t>
      </w:r>
      <w:r>
        <w:rPr>
          <w:rFonts w:hint="eastAsia" w:ascii="仿宋" w:hAnsi="仿宋" w:eastAsia="仿宋" w:cs="仿宋"/>
          <w:color w:val="auto"/>
          <w:sz w:val="24"/>
          <w:szCs w:val="24"/>
          <w:highlight w:val="none"/>
          <w:lang w:val="en-US" w:eastAsia="zh-CN"/>
        </w:rPr>
        <w:t>企业</w:t>
      </w:r>
      <w:r>
        <w:rPr>
          <w:rFonts w:hint="eastAsia" w:ascii="仿宋" w:hAnsi="仿宋" w:eastAsia="仿宋" w:cs="仿宋"/>
          <w:color w:val="auto"/>
          <w:sz w:val="24"/>
          <w:szCs w:val="24"/>
          <w:highlight w:val="none"/>
        </w:rPr>
        <w:t>声明函》、《残疾人福利性</w:t>
      </w:r>
      <w:r>
        <w:rPr>
          <w:rFonts w:hint="eastAsia" w:ascii="仿宋" w:hAnsi="仿宋" w:eastAsia="仿宋" w:cs="仿宋"/>
          <w:color w:val="auto"/>
          <w:spacing w:val="-1"/>
          <w:sz w:val="24"/>
          <w:szCs w:val="24"/>
          <w:highlight w:val="none"/>
        </w:rPr>
        <w:t>单位声明函》或省级以上监狱管理局、</w:t>
      </w:r>
      <w:r>
        <w:rPr>
          <w:rFonts w:hint="eastAsia" w:ascii="仿宋" w:hAnsi="仿宋" w:eastAsia="仿宋" w:cs="仿宋"/>
          <w:color w:val="auto"/>
          <w:sz w:val="24"/>
          <w:szCs w:val="24"/>
          <w:highlight w:val="none"/>
        </w:rPr>
        <w:t>戒毒管理局（含新疆生产建设兵团）出具的</w:t>
      </w:r>
      <w:r>
        <w:rPr>
          <w:rFonts w:hint="eastAsia" w:ascii="仿宋" w:hAnsi="仿宋" w:eastAsia="仿宋" w:cs="仿宋"/>
          <w:color w:val="auto"/>
          <w:spacing w:val="-1"/>
          <w:sz w:val="24"/>
          <w:szCs w:val="24"/>
          <w:highlight w:val="none"/>
        </w:rPr>
        <w:t>属于监狱企业的证明文件的供应商，其报价扣除后参与评审。具体办法详见征集文件第</w:t>
      </w:r>
      <w:r>
        <w:rPr>
          <w:rFonts w:hint="eastAsia" w:ascii="仿宋" w:hAnsi="仿宋" w:eastAsia="仿宋" w:cs="仿宋"/>
          <w:color w:val="auto"/>
          <w:spacing w:val="-1"/>
          <w:sz w:val="24"/>
          <w:szCs w:val="24"/>
          <w:highlight w:val="none"/>
          <w:lang w:eastAsia="zh-CN"/>
        </w:rPr>
        <w:t>四</w:t>
      </w:r>
      <w:r>
        <w:rPr>
          <w:rFonts w:hint="eastAsia" w:ascii="仿宋" w:hAnsi="仿宋" w:eastAsia="仿宋" w:cs="仿宋"/>
          <w:color w:val="auto"/>
          <w:spacing w:val="-2"/>
          <w:sz w:val="24"/>
          <w:szCs w:val="24"/>
          <w:highlight w:val="none"/>
          <w:lang w:val="en-US" w:eastAsia="zh-CN"/>
        </w:rPr>
        <w:t>部分</w:t>
      </w:r>
      <w:r>
        <w:rPr>
          <w:rFonts w:hint="eastAsia" w:ascii="仿宋" w:hAnsi="仿宋" w:eastAsia="仿宋" w:cs="仿宋"/>
          <w:color w:val="auto"/>
          <w:spacing w:val="-2"/>
          <w:sz w:val="24"/>
          <w:szCs w:val="24"/>
          <w:highlight w:val="none"/>
        </w:rPr>
        <w:t>。</w:t>
      </w:r>
    </w:p>
    <w:p w14:paraId="3202323A">
      <w:pPr>
        <w:keepNext w:val="0"/>
        <w:keepLines w:val="0"/>
        <w:pageBreakBefore w:val="0"/>
        <w:widowControl/>
        <w:kinsoku w:val="0"/>
        <w:wordWrap/>
        <w:overflowPunct/>
        <w:topLinePunct w:val="0"/>
        <w:autoSpaceDE w:val="0"/>
        <w:autoSpaceDN w:val="0"/>
        <w:bidi w:val="0"/>
        <w:adjustRightInd w:val="0"/>
        <w:snapToGrid w:val="0"/>
        <w:spacing w:before="24"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23.4落实其他政府采购政策条款。具体办法详见征集文件第</w:t>
      </w:r>
      <w:r>
        <w:rPr>
          <w:rFonts w:hint="eastAsia" w:ascii="仿宋" w:hAnsi="仿宋" w:eastAsia="仿宋" w:cs="仿宋"/>
          <w:color w:val="auto"/>
          <w:spacing w:val="-1"/>
          <w:sz w:val="24"/>
          <w:szCs w:val="24"/>
          <w:highlight w:val="none"/>
          <w:lang w:eastAsia="zh-CN"/>
        </w:rPr>
        <w:t>四</w:t>
      </w:r>
      <w:r>
        <w:rPr>
          <w:rFonts w:hint="eastAsia" w:ascii="仿宋" w:hAnsi="仿宋" w:eastAsia="仿宋" w:cs="仿宋"/>
          <w:color w:val="auto"/>
          <w:spacing w:val="-1"/>
          <w:sz w:val="24"/>
          <w:szCs w:val="24"/>
          <w:highlight w:val="none"/>
          <w:lang w:val="en-US" w:eastAsia="zh-CN"/>
        </w:rPr>
        <w:t>部分</w:t>
      </w:r>
      <w:r>
        <w:rPr>
          <w:rFonts w:hint="eastAsia" w:ascii="仿宋" w:hAnsi="仿宋" w:eastAsia="仿宋" w:cs="仿宋"/>
          <w:color w:val="auto"/>
          <w:spacing w:val="-1"/>
          <w:sz w:val="24"/>
          <w:szCs w:val="24"/>
          <w:highlight w:val="none"/>
        </w:rPr>
        <w:t>。</w:t>
      </w:r>
    </w:p>
    <w:p w14:paraId="1D286B46">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24.确定入围供应商的数量</w:t>
      </w:r>
    </w:p>
    <w:p w14:paraId="3F618792">
      <w:pPr>
        <w:keepNext w:val="0"/>
        <w:keepLines w:val="0"/>
        <w:pageBreakBefore w:val="0"/>
        <w:widowControl/>
        <w:kinsoku w:val="0"/>
        <w:wordWrap/>
        <w:overflowPunct/>
        <w:topLinePunct w:val="0"/>
        <w:autoSpaceDE w:val="0"/>
        <w:autoSpaceDN w:val="0"/>
        <w:bidi w:val="0"/>
        <w:adjustRightInd w:val="0"/>
        <w:snapToGrid w:val="0"/>
        <w:spacing w:before="23"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24.</w:t>
      </w:r>
      <w:r>
        <w:rPr>
          <w:rFonts w:hint="eastAsia" w:ascii="仿宋" w:hAnsi="仿宋" w:eastAsia="仿宋" w:cs="仿宋"/>
          <w:color w:val="auto"/>
          <w:spacing w:val="-1"/>
          <w:sz w:val="24"/>
          <w:szCs w:val="24"/>
          <w:highlight w:val="none"/>
          <w:lang w:val="en-US" w:eastAsia="zh-CN"/>
        </w:rPr>
        <w:t>1</w:t>
      </w:r>
      <w:r>
        <w:rPr>
          <w:rFonts w:hint="eastAsia" w:ascii="仿宋" w:hAnsi="仿宋" w:eastAsia="仿宋" w:cs="仿宋"/>
          <w:color w:val="auto"/>
          <w:spacing w:val="-1"/>
          <w:sz w:val="24"/>
          <w:szCs w:val="24"/>
          <w:highlight w:val="none"/>
        </w:rPr>
        <w:t>本项目具体入围供应商数量见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w:t>
      </w:r>
    </w:p>
    <w:p w14:paraId="42BAF702">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25.保密要求</w:t>
      </w:r>
    </w:p>
    <w:p w14:paraId="05DADD6B">
      <w:pPr>
        <w:keepNext w:val="0"/>
        <w:keepLines w:val="0"/>
        <w:pageBreakBefore w:val="0"/>
        <w:widowControl/>
        <w:kinsoku w:val="0"/>
        <w:wordWrap/>
        <w:overflowPunct/>
        <w:topLinePunct w:val="0"/>
        <w:autoSpaceDE w:val="0"/>
        <w:autoSpaceDN w:val="0"/>
        <w:bidi w:val="0"/>
        <w:adjustRightInd w:val="0"/>
        <w:snapToGrid w:val="0"/>
        <w:spacing w:before="46"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25.1评审将在严格保密的情况下进行。</w:t>
      </w:r>
    </w:p>
    <w:p w14:paraId="275B813E">
      <w:pPr>
        <w:keepNext w:val="0"/>
        <w:keepLines w:val="0"/>
        <w:pageBreakBefore w:val="0"/>
        <w:widowControl/>
        <w:kinsoku w:val="0"/>
        <w:wordWrap/>
        <w:overflowPunct/>
        <w:topLinePunct w:val="0"/>
        <w:autoSpaceDE w:val="0"/>
        <w:autoSpaceDN w:val="0"/>
        <w:bidi w:val="0"/>
        <w:adjustRightInd w:val="0"/>
        <w:snapToGrid w:val="0"/>
        <w:spacing w:before="23" w:line="360" w:lineRule="auto"/>
        <w:ind w:left="54" w:right="203" w:hanging="16"/>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25.2有关人员应当遵守评审工作纪律，不得泄露评审文件、评</w:t>
      </w:r>
      <w:r>
        <w:rPr>
          <w:rFonts w:hint="eastAsia" w:ascii="仿宋" w:hAnsi="仿宋" w:eastAsia="仿宋" w:cs="仿宋"/>
          <w:color w:val="auto"/>
          <w:spacing w:val="-1"/>
          <w:sz w:val="24"/>
          <w:szCs w:val="24"/>
          <w:highlight w:val="none"/>
        </w:rPr>
        <w:t>审情况和评审中获悉的国家秘</w:t>
      </w:r>
      <w:r>
        <w:rPr>
          <w:rFonts w:hint="eastAsia" w:ascii="仿宋" w:hAnsi="仿宋" w:eastAsia="仿宋" w:cs="仿宋"/>
          <w:color w:val="auto"/>
          <w:spacing w:val="-5"/>
          <w:sz w:val="24"/>
          <w:szCs w:val="24"/>
          <w:highlight w:val="none"/>
        </w:rPr>
        <w:t>密、商业秘密。</w:t>
      </w:r>
    </w:p>
    <w:p w14:paraId="7EE75FD1">
      <w:pPr>
        <w:keepNext w:val="0"/>
        <w:keepLines w:val="0"/>
        <w:pageBreakBefore w:val="0"/>
        <w:widowControl/>
        <w:kinsoku w:val="0"/>
        <w:wordWrap/>
        <w:overflowPunct/>
        <w:topLinePunct w:val="0"/>
        <w:autoSpaceDE w:val="0"/>
        <w:autoSpaceDN w:val="0"/>
        <w:bidi w:val="0"/>
        <w:adjustRightInd w:val="0"/>
        <w:snapToGrid w:val="0"/>
        <w:spacing w:before="27" w:line="360" w:lineRule="auto"/>
        <w:ind w:left="3755"/>
        <w:textAlignment w:val="baseline"/>
        <w:outlineLvl w:val="1"/>
        <w:rPr>
          <w:rFonts w:hint="eastAsia" w:ascii="仿宋" w:hAnsi="仿宋" w:eastAsia="仿宋" w:cs="仿宋"/>
          <w:color w:val="auto"/>
          <w:sz w:val="36"/>
          <w:szCs w:val="36"/>
          <w:highlight w:val="none"/>
        </w:rPr>
      </w:pPr>
      <w:r>
        <w:rPr>
          <w:rFonts w:hint="eastAsia" w:ascii="仿宋" w:hAnsi="仿宋" w:eastAsia="仿宋" w:cs="仿宋"/>
          <w:color w:val="auto"/>
          <w:spacing w:val="-6"/>
          <w:sz w:val="36"/>
          <w:szCs w:val="36"/>
          <w:highlight w:val="none"/>
          <w14:textOutline w14:w="5103" w14:cap="sq" w14:cmpd="sng">
            <w14:solidFill>
              <w14:srgbClr w14:val="000000"/>
            </w14:solidFill>
            <w14:prstDash w14:val="solid"/>
            <w14:bevel/>
          </w14:textOutline>
        </w:rPr>
        <w:t>六</w:t>
      </w:r>
      <w:r>
        <w:rPr>
          <w:rFonts w:hint="eastAsia" w:ascii="仿宋" w:hAnsi="仿宋" w:eastAsia="仿宋" w:cs="仿宋"/>
          <w:color w:val="auto"/>
          <w:spacing w:val="14"/>
          <w:sz w:val="36"/>
          <w:szCs w:val="36"/>
          <w:highlight w:val="none"/>
        </w:rPr>
        <w:t xml:space="preserve">  </w:t>
      </w:r>
      <w:r>
        <w:rPr>
          <w:rFonts w:hint="eastAsia" w:ascii="仿宋" w:hAnsi="仿宋" w:eastAsia="仿宋" w:cs="仿宋"/>
          <w:color w:val="auto"/>
          <w:spacing w:val="-6"/>
          <w:sz w:val="36"/>
          <w:szCs w:val="36"/>
          <w:highlight w:val="none"/>
          <w14:textOutline w14:w="5103" w14:cap="sq" w14:cmpd="sng">
            <w14:solidFill>
              <w14:srgbClr w14:val="000000"/>
            </w14:solidFill>
            <w14:prstDash w14:val="solid"/>
            <w14:bevel/>
          </w14:textOutline>
        </w:rPr>
        <w:t>签订框架协议</w:t>
      </w:r>
    </w:p>
    <w:p w14:paraId="677C8EA8">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26.发布入围结果公告及入围通知书</w:t>
      </w:r>
    </w:p>
    <w:p w14:paraId="25A9A664">
      <w:pPr>
        <w:keepNext w:val="0"/>
        <w:keepLines w:val="0"/>
        <w:pageBreakBefore w:val="0"/>
        <w:widowControl/>
        <w:kinsoku w:val="0"/>
        <w:wordWrap/>
        <w:overflowPunct/>
        <w:topLinePunct w:val="0"/>
        <w:autoSpaceDE w:val="0"/>
        <w:autoSpaceDN w:val="0"/>
        <w:bidi w:val="0"/>
        <w:adjustRightInd w:val="0"/>
        <w:snapToGrid w:val="0"/>
        <w:spacing w:before="43" w:line="360" w:lineRule="auto"/>
        <w:ind w:left="70" w:right="203" w:hanging="3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26.1在响应文件有效期内，入围供应商确定后，征集人将发布</w:t>
      </w:r>
      <w:r>
        <w:rPr>
          <w:rFonts w:hint="eastAsia" w:ascii="仿宋" w:hAnsi="仿宋" w:eastAsia="仿宋" w:cs="仿宋"/>
          <w:color w:val="auto"/>
          <w:spacing w:val="-1"/>
          <w:sz w:val="24"/>
          <w:szCs w:val="24"/>
          <w:highlight w:val="none"/>
        </w:rPr>
        <w:t>入围结果公告。在公告结果的</w:t>
      </w:r>
      <w:r>
        <w:rPr>
          <w:rFonts w:hint="eastAsia" w:ascii="仿宋" w:hAnsi="仿宋" w:eastAsia="仿宋" w:cs="仿宋"/>
          <w:color w:val="auto"/>
          <w:spacing w:val="-3"/>
          <w:sz w:val="24"/>
          <w:szCs w:val="24"/>
          <w:highlight w:val="none"/>
        </w:rPr>
        <w:t>同时，向入围供应商发出入围通知书。</w:t>
      </w:r>
    </w:p>
    <w:p w14:paraId="55702BEB">
      <w:pPr>
        <w:keepNext w:val="0"/>
        <w:keepLines w:val="0"/>
        <w:pageBreakBefore w:val="0"/>
        <w:widowControl/>
        <w:kinsoku w:val="0"/>
        <w:wordWrap/>
        <w:overflowPunct/>
        <w:topLinePunct w:val="0"/>
        <w:autoSpaceDE w:val="0"/>
        <w:autoSpaceDN w:val="0"/>
        <w:bidi w:val="0"/>
        <w:adjustRightInd w:val="0"/>
        <w:snapToGrid w:val="0"/>
        <w:spacing w:before="20" w:line="360" w:lineRule="auto"/>
        <w:ind w:left="43" w:right="203" w:hanging="5"/>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26.2封闭式框架协议入围供应商无正当理由，不得主动放弃入</w:t>
      </w:r>
      <w:r>
        <w:rPr>
          <w:rFonts w:hint="eastAsia" w:ascii="仿宋" w:hAnsi="仿宋" w:eastAsia="仿宋" w:cs="仿宋"/>
          <w:color w:val="auto"/>
          <w:spacing w:val="-1"/>
          <w:sz w:val="24"/>
          <w:szCs w:val="24"/>
          <w:highlight w:val="none"/>
        </w:rPr>
        <w:t>围资格或者退出框架协议。开</w:t>
      </w:r>
      <w:r>
        <w:rPr>
          <w:rFonts w:hint="eastAsia" w:ascii="仿宋" w:hAnsi="仿宋" w:eastAsia="仿宋" w:cs="仿宋"/>
          <w:color w:val="auto"/>
          <w:sz w:val="24"/>
          <w:szCs w:val="24"/>
          <w:highlight w:val="none"/>
        </w:rPr>
        <w:t>放式框架协议入围供应商可以随时申请退出框架协</w:t>
      </w:r>
      <w:r>
        <w:rPr>
          <w:rFonts w:hint="eastAsia" w:ascii="仿宋" w:hAnsi="仿宋" w:eastAsia="仿宋" w:cs="仿宋"/>
          <w:color w:val="auto"/>
          <w:spacing w:val="-1"/>
          <w:sz w:val="24"/>
          <w:szCs w:val="24"/>
          <w:highlight w:val="none"/>
        </w:rPr>
        <w:t>议。集中采购机构或者主管预算单位应当在收到退出申请2个工作日内，发布入围供应商退出公告。</w:t>
      </w:r>
    </w:p>
    <w:p w14:paraId="39B038EF">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27.签订框架协议</w:t>
      </w:r>
    </w:p>
    <w:p w14:paraId="317BFDA3">
      <w:pPr>
        <w:keepNext w:val="0"/>
        <w:keepLines w:val="0"/>
        <w:pageBreakBefore w:val="0"/>
        <w:widowControl/>
        <w:kinsoku w:val="0"/>
        <w:wordWrap/>
        <w:overflowPunct/>
        <w:topLinePunct w:val="0"/>
        <w:autoSpaceDE w:val="0"/>
        <w:autoSpaceDN w:val="0"/>
        <w:bidi w:val="0"/>
        <w:adjustRightInd w:val="0"/>
        <w:snapToGrid w:val="0"/>
        <w:spacing w:before="45" w:line="360" w:lineRule="auto"/>
        <w:ind w:left="48" w:right="203" w:hanging="1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27.1征集人应当在入围通知书发出之日起30日内和入围供应商</w:t>
      </w:r>
      <w:r>
        <w:rPr>
          <w:rFonts w:hint="eastAsia" w:ascii="仿宋" w:hAnsi="仿宋" w:eastAsia="仿宋" w:cs="仿宋"/>
          <w:color w:val="auto"/>
          <w:spacing w:val="-1"/>
          <w:sz w:val="24"/>
          <w:szCs w:val="24"/>
          <w:highlight w:val="none"/>
        </w:rPr>
        <w:t>签订框架协议，并在框架协议签订后7个工作日内，将框架协议副本报本级财政部门备案。</w:t>
      </w:r>
      <w:r>
        <w:rPr>
          <w:rFonts w:hint="eastAsia" w:ascii="仿宋" w:hAnsi="仿宋" w:eastAsia="仿宋" w:cs="仿宋"/>
          <w:color w:val="auto"/>
          <w:sz w:val="24"/>
          <w:szCs w:val="24"/>
          <w:highlight w:val="none"/>
        </w:rPr>
        <w:t>框架协议不得对征集文件确定的事项以及入围供应商的响应文件作实质性修改。</w:t>
      </w:r>
    </w:p>
    <w:p w14:paraId="46279B9B">
      <w:pPr>
        <w:keepNext w:val="0"/>
        <w:keepLines w:val="0"/>
        <w:pageBreakBefore w:val="0"/>
        <w:widowControl/>
        <w:kinsoku w:val="0"/>
        <w:wordWrap/>
        <w:overflowPunct/>
        <w:topLinePunct w:val="0"/>
        <w:autoSpaceDE w:val="0"/>
        <w:autoSpaceDN w:val="0"/>
        <w:bidi w:val="0"/>
        <w:adjustRightInd w:val="0"/>
        <w:snapToGrid w:val="0"/>
        <w:spacing w:before="45" w:line="360" w:lineRule="auto"/>
        <w:ind w:left="48" w:right="203" w:hanging="1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27.2征集文件、入围供应商的响应文件及其澄清文件等，均</w:t>
      </w:r>
      <w:r>
        <w:rPr>
          <w:rFonts w:hint="eastAsia" w:ascii="仿宋" w:hAnsi="仿宋" w:eastAsia="仿宋" w:cs="仿宋"/>
          <w:color w:val="auto"/>
          <w:spacing w:val="-2"/>
          <w:sz w:val="24"/>
          <w:szCs w:val="24"/>
          <w:highlight w:val="none"/>
        </w:rPr>
        <w:t>为签订框架协议的依据。</w:t>
      </w:r>
    </w:p>
    <w:p w14:paraId="1185861C">
      <w:pPr>
        <w:keepNext w:val="0"/>
        <w:keepLines w:val="0"/>
        <w:pageBreakBefore w:val="0"/>
        <w:widowControl/>
        <w:kinsoku w:val="0"/>
        <w:wordWrap/>
        <w:overflowPunct/>
        <w:topLinePunct w:val="0"/>
        <w:autoSpaceDE w:val="0"/>
        <w:autoSpaceDN w:val="0"/>
        <w:bidi w:val="0"/>
        <w:adjustRightInd w:val="0"/>
        <w:snapToGrid w:val="0"/>
        <w:spacing w:before="25" w:line="360" w:lineRule="auto"/>
        <w:ind w:left="73" w:right="203" w:hanging="3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27.3如入围供应商拒绝与征集人签订框架协议的，入围供应商</w:t>
      </w:r>
      <w:r>
        <w:rPr>
          <w:rFonts w:hint="eastAsia" w:ascii="仿宋" w:hAnsi="仿宋" w:eastAsia="仿宋" w:cs="仿宋"/>
          <w:color w:val="auto"/>
          <w:spacing w:val="-1"/>
          <w:sz w:val="24"/>
          <w:szCs w:val="24"/>
          <w:highlight w:val="none"/>
        </w:rPr>
        <w:t>须按征集响应保证承诺书内容</w:t>
      </w:r>
      <w:r>
        <w:rPr>
          <w:rFonts w:hint="eastAsia" w:ascii="仿宋" w:hAnsi="仿宋" w:eastAsia="仿宋" w:cs="仿宋"/>
          <w:color w:val="auto"/>
          <w:spacing w:val="-6"/>
          <w:sz w:val="24"/>
          <w:szCs w:val="24"/>
          <w:highlight w:val="none"/>
        </w:rPr>
        <w:t>向征集人支付赔偿。</w:t>
      </w:r>
    </w:p>
    <w:p w14:paraId="10C8BE98">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28.主管预算单位的职责</w:t>
      </w:r>
    </w:p>
    <w:p w14:paraId="50568A56">
      <w:pPr>
        <w:keepNext w:val="0"/>
        <w:keepLines w:val="0"/>
        <w:pageBreakBefore w:val="0"/>
        <w:widowControl/>
        <w:kinsoku w:val="0"/>
        <w:wordWrap/>
        <w:overflowPunct/>
        <w:topLinePunct w:val="0"/>
        <w:autoSpaceDE w:val="0"/>
        <w:autoSpaceDN w:val="0"/>
        <w:bidi w:val="0"/>
        <w:adjustRightInd w:val="0"/>
        <w:snapToGrid w:val="0"/>
        <w:spacing w:before="43" w:line="360" w:lineRule="auto"/>
        <w:ind w:left="441" w:right="501" w:hanging="403"/>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28.1主管预算单位应当根据框架协议约定，组织落实框架协议的履行，并履行下列职责：（一）为第二阶段合同授予提供工作便利；</w:t>
      </w:r>
    </w:p>
    <w:p w14:paraId="6D58ED1E">
      <w:pPr>
        <w:keepNext w:val="0"/>
        <w:keepLines w:val="0"/>
        <w:pageBreakBefore w:val="0"/>
        <w:widowControl/>
        <w:kinsoku w:val="0"/>
        <w:wordWrap/>
        <w:overflowPunct/>
        <w:topLinePunct w:val="0"/>
        <w:autoSpaceDE w:val="0"/>
        <w:autoSpaceDN w:val="0"/>
        <w:bidi w:val="0"/>
        <w:adjustRightInd w:val="0"/>
        <w:snapToGrid w:val="0"/>
        <w:spacing w:before="26"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（二）对第二阶段最高限价和需求标准执行情况进行管理；</w:t>
      </w:r>
    </w:p>
    <w:p w14:paraId="0C413D71">
      <w:pPr>
        <w:keepNext w:val="0"/>
        <w:keepLines w:val="0"/>
        <w:pageBreakBefore w:val="0"/>
        <w:widowControl/>
        <w:kinsoku w:val="0"/>
        <w:wordWrap/>
        <w:overflowPunct/>
        <w:topLinePunct w:val="0"/>
        <w:autoSpaceDE w:val="0"/>
        <w:autoSpaceDN w:val="0"/>
        <w:bidi w:val="0"/>
        <w:adjustRightInd w:val="0"/>
        <w:snapToGrid w:val="0"/>
        <w:spacing w:before="1"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（三）对第二阶段确定成交供应商情况进行管理；</w:t>
      </w:r>
    </w:p>
    <w:p w14:paraId="49E204F9">
      <w:pPr>
        <w:keepNext w:val="0"/>
        <w:keepLines w:val="0"/>
        <w:pageBreakBefore w:val="0"/>
        <w:widowControl/>
        <w:kinsoku w:val="0"/>
        <w:wordWrap/>
        <w:overflowPunct/>
        <w:topLinePunct w:val="0"/>
        <w:autoSpaceDE w:val="0"/>
        <w:autoSpaceDN w:val="0"/>
        <w:bidi w:val="0"/>
        <w:adjustRightInd w:val="0"/>
        <w:snapToGrid w:val="0"/>
        <w:spacing w:before="26" w:line="360" w:lineRule="auto"/>
        <w:ind w:left="46" w:right="289" w:firstLine="3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（四）根据框架协议约定，在质量不降低、价格不提高的前提下，对入围供应商因产品升级换代、用新产品替代原入围产品的情形进行审核；</w:t>
      </w:r>
    </w:p>
    <w:p w14:paraId="2895229F">
      <w:pPr>
        <w:keepNext w:val="0"/>
        <w:keepLines w:val="0"/>
        <w:pageBreakBefore w:val="0"/>
        <w:widowControl/>
        <w:kinsoku w:val="0"/>
        <w:wordWrap/>
        <w:overflowPunct/>
        <w:topLinePunct w:val="0"/>
        <w:autoSpaceDE w:val="0"/>
        <w:autoSpaceDN w:val="0"/>
        <w:bidi w:val="0"/>
        <w:adjustRightInd w:val="0"/>
        <w:snapToGrid w:val="0"/>
        <w:spacing w:before="26" w:line="360" w:lineRule="auto"/>
        <w:ind w:left="44" w:right="203" w:firstLine="396"/>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（五）建立用户反馈和评价机制，接受采购人和服务对象对入围供应商履行框架协议和</w:t>
      </w:r>
      <w:r>
        <w:rPr>
          <w:rFonts w:hint="eastAsia" w:ascii="仿宋" w:hAnsi="仿宋" w:eastAsia="仿宋" w:cs="仿宋"/>
          <w:color w:val="auto"/>
          <w:sz w:val="24"/>
          <w:szCs w:val="24"/>
          <w:highlight w:val="none"/>
        </w:rPr>
        <w:t>采购合同情况的反馈与评价，并将用户反馈和评</w:t>
      </w:r>
      <w:r>
        <w:rPr>
          <w:rFonts w:hint="eastAsia" w:ascii="仿宋" w:hAnsi="仿宋" w:eastAsia="仿宋" w:cs="仿宋"/>
          <w:color w:val="auto"/>
          <w:spacing w:val="-1"/>
          <w:sz w:val="24"/>
          <w:szCs w:val="24"/>
          <w:highlight w:val="none"/>
        </w:rPr>
        <w:t>价情况向采购人和服务对象公开，作为第二</w:t>
      </w:r>
      <w:r>
        <w:rPr>
          <w:rFonts w:hint="eastAsia" w:ascii="仿宋" w:hAnsi="仿宋" w:eastAsia="仿宋" w:cs="仿宋"/>
          <w:color w:val="auto"/>
          <w:spacing w:val="-2"/>
          <w:sz w:val="24"/>
          <w:szCs w:val="24"/>
          <w:highlight w:val="none"/>
        </w:rPr>
        <w:t>阶段直接选定成交供应商的参考；</w:t>
      </w:r>
    </w:p>
    <w:p w14:paraId="6A439485">
      <w:pPr>
        <w:keepNext w:val="0"/>
        <w:keepLines w:val="0"/>
        <w:pageBreakBefore w:val="0"/>
        <w:widowControl/>
        <w:kinsoku w:val="0"/>
        <w:wordWrap/>
        <w:overflowPunct/>
        <w:topLinePunct w:val="0"/>
        <w:autoSpaceDE w:val="0"/>
        <w:autoSpaceDN w:val="0"/>
        <w:bidi w:val="0"/>
        <w:adjustRightInd w:val="0"/>
        <w:snapToGrid w:val="0"/>
        <w:spacing w:before="22" w:line="360" w:lineRule="auto"/>
        <w:ind w:left="441"/>
        <w:textAlignment w:val="baseline"/>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（六）公开封闭式框架协议的第二阶段成交结果；</w:t>
      </w:r>
    </w:p>
    <w:p w14:paraId="307B9016">
      <w:pPr>
        <w:keepNext w:val="0"/>
        <w:keepLines w:val="0"/>
        <w:pageBreakBefore w:val="0"/>
        <w:widowControl/>
        <w:kinsoku w:val="0"/>
        <w:wordWrap/>
        <w:overflowPunct/>
        <w:topLinePunct w:val="0"/>
        <w:autoSpaceDE w:val="0"/>
        <w:autoSpaceDN w:val="0"/>
        <w:bidi w:val="0"/>
        <w:adjustRightInd w:val="0"/>
        <w:snapToGrid w:val="0"/>
        <w:spacing w:before="22"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（七）办理入围供应商清退和补充相关事宜。</w:t>
      </w:r>
    </w:p>
    <w:p w14:paraId="7EF18046">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29.入围供应商不得存在的情形</w:t>
      </w:r>
    </w:p>
    <w:p w14:paraId="1E3896FC">
      <w:pPr>
        <w:keepNext w:val="0"/>
        <w:keepLines w:val="0"/>
        <w:pageBreakBefore w:val="0"/>
        <w:widowControl/>
        <w:kinsoku w:val="0"/>
        <w:wordWrap/>
        <w:overflowPunct/>
        <w:topLinePunct w:val="0"/>
        <w:autoSpaceDE w:val="0"/>
        <w:autoSpaceDN w:val="0"/>
        <w:bidi w:val="0"/>
        <w:adjustRightInd w:val="0"/>
        <w:snapToGrid w:val="0"/>
        <w:spacing w:before="44" w:line="360" w:lineRule="auto"/>
        <w:ind w:left="41" w:right="203" w:hanging="3"/>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29.1入围供应商有下列情形之一，尚未签订框架协议的，取消</w:t>
      </w:r>
      <w:r>
        <w:rPr>
          <w:rFonts w:hint="eastAsia" w:ascii="仿宋" w:hAnsi="仿宋" w:eastAsia="仿宋" w:cs="仿宋"/>
          <w:color w:val="auto"/>
          <w:spacing w:val="-1"/>
          <w:sz w:val="24"/>
          <w:szCs w:val="24"/>
          <w:highlight w:val="none"/>
        </w:rPr>
        <w:t>其入围资格；已经签订框架协</w:t>
      </w:r>
      <w:r>
        <w:rPr>
          <w:rFonts w:hint="eastAsia" w:ascii="仿宋" w:hAnsi="仿宋" w:eastAsia="仿宋" w:cs="仿宋"/>
          <w:color w:val="auto"/>
          <w:spacing w:val="-2"/>
          <w:sz w:val="24"/>
          <w:szCs w:val="24"/>
          <w:highlight w:val="none"/>
        </w:rPr>
        <w:t>议的，解除与其签订的框架协议：</w:t>
      </w:r>
    </w:p>
    <w:p w14:paraId="39496139">
      <w:pPr>
        <w:keepNext w:val="0"/>
        <w:keepLines w:val="0"/>
        <w:pageBreakBefore w:val="0"/>
        <w:widowControl/>
        <w:kinsoku w:val="0"/>
        <w:wordWrap/>
        <w:overflowPunct/>
        <w:topLinePunct w:val="0"/>
        <w:autoSpaceDE w:val="0"/>
        <w:autoSpaceDN w:val="0"/>
        <w:bidi w:val="0"/>
        <w:adjustRightInd w:val="0"/>
        <w:snapToGrid w:val="0"/>
        <w:spacing w:before="25"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（一）恶意串通谋取入围或者合同成交的；</w:t>
      </w:r>
    </w:p>
    <w:p w14:paraId="4101232B">
      <w:pPr>
        <w:keepNext w:val="0"/>
        <w:keepLines w:val="0"/>
        <w:pageBreakBefore w:val="0"/>
        <w:widowControl/>
        <w:kinsoku w:val="0"/>
        <w:wordWrap/>
        <w:overflowPunct/>
        <w:topLinePunct w:val="0"/>
        <w:autoSpaceDE w:val="0"/>
        <w:autoSpaceDN w:val="0"/>
        <w:bidi w:val="0"/>
        <w:adjustRightInd w:val="0"/>
        <w:snapToGrid w:val="0"/>
        <w:spacing w:before="24"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（二）提供虚假材料谋取入围或者合同成交的；</w:t>
      </w:r>
    </w:p>
    <w:p w14:paraId="394CF15E">
      <w:pPr>
        <w:keepNext w:val="0"/>
        <w:keepLines w:val="0"/>
        <w:pageBreakBefore w:val="0"/>
        <w:widowControl/>
        <w:kinsoku w:val="0"/>
        <w:wordWrap/>
        <w:overflowPunct/>
        <w:topLinePunct w:val="0"/>
        <w:autoSpaceDE w:val="0"/>
        <w:autoSpaceDN w:val="0"/>
        <w:bidi w:val="0"/>
        <w:adjustRightInd w:val="0"/>
        <w:snapToGrid w:val="0"/>
        <w:spacing w:line="360" w:lineRule="auto"/>
        <w:ind w:left="44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（三）无正当理由拒不接受合同授予的；</w:t>
      </w:r>
    </w:p>
    <w:p w14:paraId="47627615">
      <w:pPr>
        <w:keepNext w:val="0"/>
        <w:keepLines w:val="0"/>
        <w:pageBreakBefore w:val="0"/>
        <w:widowControl/>
        <w:kinsoku w:val="0"/>
        <w:wordWrap/>
        <w:overflowPunct/>
        <w:topLinePunct w:val="0"/>
        <w:autoSpaceDE w:val="0"/>
        <w:autoSpaceDN w:val="0"/>
        <w:bidi w:val="0"/>
        <w:adjustRightInd w:val="0"/>
        <w:snapToGrid w:val="0"/>
        <w:spacing w:before="21" w:line="360" w:lineRule="auto"/>
        <w:ind w:left="46" w:right="289" w:firstLine="3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（四）不履行合同义务或者履行合同义务不符合约定，经采购人请求履行后仍不履行或</w:t>
      </w:r>
      <w:r>
        <w:rPr>
          <w:rFonts w:hint="eastAsia" w:ascii="仿宋" w:hAnsi="仿宋" w:eastAsia="仿宋" w:cs="仿宋"/>
          <w:color w:val="auto"/>
          <w:spacing w:val="-2"/>
          <w:sz w:val="24"/>
          <w:szCs w:val="24"/>
          <w:highlight w:val="none"/>
        </w:rPr>
        <w:t>者仍未按约定履行的；</w:t>
      </w:r>
    </w:p>
    <w:p w14:paraId="01EB14CD">
      <w:pPr>
        <w:keepNext w:val="0"/>
        <w:keepLines w:val="0"/>
        <w:pageBreakBefore w:val="0"/>
        <w:widowControl/>
        <w:kinsoku w:val="0"/>
        <w:wordWrap/>
        <w:overflowPunct/>
        <w:topLinePunct w:val="0"/>
        <w:autoSpaceDE w:val="0"/>
        <w:autoSpaceDN w:val="0"/>
        <w:bidi w:val="0"/>
        <w:adjustRightInd w:val="0"/>
        <w:snapToGrid w:val="0"/>
        <w:spacing w:before="26" w:line="360" w:lineRule="auto"/>
        <w:ind w:left="441" w:right="1547"/>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（五）框架协议有效期内，因违法行为被禁</w:t>
      </w:r>
      <w:r>
        <w:rPr>
          <w:rFonts w:hint="eastAsia" w:ascii="仿宋" w:hAnsi="仿宋" w:eastAsia="仿宋" w:cs="仿宋"/>
          <w:color w:val="auto"/>
          <w:spacing w:val="-3"/>
          <w:sz w:val="24"/>
          <w:szCs w:val="24"/>
          <w:highlight w:val="none"/>
        </w:rPr>
        <w:t>止或限制参加政府采购活动的</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2"/>
          <w:sz w:val="24"/>
          <w:szCs w:val="24"/>
          <w:highlight w:val="none"/>
        </w:rPr>
        <w:t>（六）框架协议约定的其他情形。</w:t>
      </w:r>
    </w:p>
    <w:p w14:paraId="6103BAE2">
      <w:pPr>
        <w:keepNext w:val="0"/>
        <w:keepLines w:val="0"/>
        <w:pageBreakBefore w:val="0"/>
        <w:widowControl/>
        <w:kinsoku w:val="0"/>
        <w:wordWrap/>
        <w:overflowPunct/>
        <w:topLinePunct w:val="0"/>
        <w:autoSpaceDE w:val="0"/>
        <w:autoSpaceDN w:val="0"/>
        <w:bidi w:val="0"/>
        <w:adjustRightInd w:val="0"/>
        <w:snapToGrid w:val="0"/>
        <w:spacing w:before="23" w:line="360" w:lineRule="auto"/>
        <w:ind w:left="46" w:right="257" w:hanging="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29.2被取消入围资格或者被解除框架协议的供应商不得参加同一封闭式框架协议补充征集，或者重新申请加入同一开放式框架协议。</w:t>
      </w:r>
    </w:p>
    <w:p w14:paraId="57C6CC47">
      <w:pPr>
        <w:keepNext w:val="0"/>
        <w:keepLines w:val="0"/>
        <w:pageBreakBefore w:val="0"/>
        <w:widowControl/>
        <w:kinsoku w:val="0"/>
        <w:wordWrap/>
        <w:overflowPunct/>
        <w:topLinePunct w:val="0"/>
        <w:autoSpaceDE w:val="0"/>
        <w:autoSpaceDN w:val="0"/>
        <w:bidi w:val="0"/>
        <w:adjustRightInd w:val="0"/>
        <w:snapToGrid w:val="0"/>
        <w:spacing w:before="26" w:line="360" w:lineRule="auto"/>
        <w:ind w:left="52" w:right="323" w:hanging="14"/>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29.3供应商有《政府采购框架协议采购方式管理暂行办法》</w:t>
      </w:r>
      <w:r>
        <w:rPr>
          <w:rFonts w:hint="eastAsia" w:ascii="仿宋" w:hAnsi="仿宋" w:eastAsia="仿宋" w:cs="仿宋"/>
          <w:color w:val="auto"/>
          <w:spacing w:val="-1"/>
          <w:sz w:val="24"/>
          <w:szCs w:val="24"/>
          <w:highlight w:val="none"/>
        </w:rPr>
        <w:t>（中华人民共和国财政部令第110号）第十九条第一款第一项至三项情形之一，以及无正当理由放弃封闭式框架协议入围资格或者退出封闭式框架协议的，依照政府采购法等有关法律、行政法规追究法律责任。</w:t>
      </w:r>
    </w:p>
    <w:p w14:paraId="5C80A9B6">
      <w:pPr>
        <w:keepNext w:val="0"/>
        <w:keepLines w:val="0"/>
        <w:pageBreakBefore w:val="0"/>
        <w:widowControl/>
        <w:kinsoku w:val="0"/>
        <w:wordWrap/>
        <w:overflowPunct/>
        <w:topLinePunct w:val="0"/>
        <w:autoSpaceDE w:val="0"/>
        <w:autoSpaceDN w:val="0"/>
        <w:bidi w:val="0"/>
        <w:adjustRightInd w:val="0"/>
        <w:snapToGrid w:val="0"/>
        <w:spacing w:before="30" w:line="360" w:lineRule="auto"/>
        <w:ind w:left="3617"/>
        <w:textAlignment w:val="baseline"/>
        <w:outlineLvl w:val="1"/>
        <w:rPr>
          <w:rFonts w:hint="eastAsia" w:ascii="仿宋" w:hAnsi="仿宋" w:eastAsia="仿宋" w:cs="仿宋"/>
          <w:color w:val="auto"/>
          <w:sz w:val="36"/>
          <w:szCs w:val="36"/>
          <w:highlight w:val="none"/>
        </w:rPr>
      </w:pPr>
      <w:r>
        <w:rPr>
          <w:rFonts w:hint="eastAsia" w:ascii="仿宋" w:hAnsi="仿宋" w:eastAsia="仿宋" w:cs="仿宋"/>
          <w:color w:val="auto"/>
          <w:spacing w:val="-5"/>
          <w:sz w:val="36"/>
          <w:szCs w:val="36"/>
          <w:highlight w:val="none"/>
          <w14:textOutline w14:w="5103" w14:cap="sq" w14:cmpd="sng">
            <w14:solidFill>
              <w14:srgbClr w14:val="000000"/>
            </w14:solidFill>
            <w14:prstDash w14:val="solid"/>
            <w14:bevel/>
          </w14:textOutline>
        </w:rPr>
        <w:t>七</w:t>
      </w:r>
      <w:r>
        <w:rPr>
          <w:rFonts w:hint="eastAsia" w:ascii="仿宋" w:hAnsi="仿宋" w:eastAsia="仿宋" w:cs="仿宋"/>
          <w:color w:val="auto"/>
          <w:spacing w:val="12"/>
          <w:sz w:val="36"/>
          <w:szCs w:val="36"/>
          <w:highlight w:val="none"/>
        </w:rPr>
        <w:t xml:space="preserve">  </w:t>
      </w:r>
      <w:r>
        <w:rPr>
          <w:rFonts w:hint="eastAsia" w:ascii="仿宋" w:hAnsi="仿宋" w:eastAsia="仿宋" w:cs="仿宋"/>
          <w:color w:val="auto"/>
          <w:spacing w:val="-5"/>
          <w:sz w:val="36"/>
          <w:szCs w:val="36"/>
          <w:highlight w:val="none"/>
          <w14:textOutline w14:w="5103" w14:cap="sq" w14:cmpd="sng">
            <w14:solidFill>
              <w14:srgbClr w14:val="000000"/>
            </w14:solidFill>
            <w14:prstDash w14:val="solid"/>
            <w14:bevel/>
          </w14:textOutline>
        </w:rPr>
        <w:t>采购合同的授予</w:t>
      </w:r>
    </w:p>
    <w:p w14:paraId="7091D1FC">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30.采购合同的授予</w:t>
      </w:r>
    </w:p>
    <w:p w14:paraId="5622315C">
      <w:pPr>
        <w:keepNext w:val="0"/>
        <w:keepLines w:val="0"/>
        <w:pageBreakBefore w:val="0"/>
        <w:widowControl/>
        <w:kinsoku w:val="0"/>
        <w:wordWrap/>
        <w:overflowPunct/>
        <w:topLinePunct w:val="0"/>
        <w:autoSpaceDE w:val="0"/>
        <w:autoSpaceDN w:val="0"/>
        <w:bidi w:val="0"/>
        <w:adjustRightInd w:val="0"/>
        <w:snapToGrid w:val="0"/>
        <w:spacing w:before="44" w:line="360" w:lineRule="auto"/>
        <w:ind w:left="44" w:right="203" w:hanging="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30.1确定第二阶段成交供应商的方式包括直接选定、二次</w:t>
      </w:r>
      <w:r>
        <w:rPr>
          <w:rFonts w:hint="eastAsia" w:ascii="仿宋" w:hAnsi="仿宋" w:eastAsia="仿宋" w:cs="仿宋"/>
          <w:color w:val="auto"/>
          <w:spacing w:val="-1"/>
          <w:sz w:val="24"/>
          <w:szCs w:val="24"/>
          <w:highlight w:val="none"/>
        </w:rPr>
        <w:t>竞价和顺序轮候。具体见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4"/>
          <w:sz w:val="24"/>
          <w:szCs w:val="24"/>
          <w:highlight w:val="none"/>
        </w:rPr>
        <w:t>。</w:t>
      </w:r>
    </w:p>
    <w:p w14:paraId="7C40A666">
      <w:pPr>
        <w:keepNext w:val="0"/>
        <w:keepLines w:val="0"/>
        <w:pageBreakBefore w:val="0"/>
        <w:widowControl/>
        <w:kinsoku w:val="0"/>
        <w:wordWrap/>
        <w:overflowPunct/>
        <w:topLinePunct w:val="0"/>
        <w:autoSpaceDE w:val="0"/>
        <w:autoSpaceDN w:val="0"/>
        <w:bidi w:val="0"/>
        <w:adjustRightInd w:val="0"/>
        <w:snapToGrid w:val="0"/>
        <w:spacing w:before="24" w:line="360" w:lineRule="auto"/>
        <w:ind w:left="42" w:right="203" w:hanging="2"/>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30.2采购人或者服务对象采购框架协议约定的货物、服务</w:t>
      </w:r>
      <w:r>
        <w:rPr>
          <w:rFonts w:hint="eastAsia" w:ascii="仿宋" w:hAnsi="仿宋" w:eastAsia="仿宋" w:cs="仿宋"/>
          <w:color w:val="auto"/>
          <w:spacing w:val="-1"/>
          <w:sz w:val="24"/>
          <w:szCs w:val="24"/>
          <w:highlight w:val="none"/>
        </w:rPr>
        <w:t>，应当将第二阶段的采购合同授予</w:t>
      </w:r>
      <w:r>
        <w:rPr>
          <w:rFonts w:hint="eastAsia" w:ascii="仿宋" w:hAnsi="仿宋" w:eastAsia="仿宋" w:cs="仿宋"/>
          <w:color w:val="auto"/>
          <w:sz w:val="24"/>
          <w:szCs w:val="24"/>
          <w:highlight w:val="none"/>
        </w:rPr>
        <w:t>入围供应商，但《政府采购框架协议采购方式管理暂</w:t>
      </w:r>
      <w:r>
        <w:rPr>
          <w:rFonts w:hint="eastAsia" w:ascii="仿宋" w:hAnsi="仿宋" w:eastAsia="仿宋" w:cs="仿宋"/>
          <w:color w:val="auto"/>
          <w:spacing w:val="-1"/>
          <w:sz w:val="24"/>
          <w:szCs w:val="24"/>
          <w:highlight w:val="none"/>
        </w:rPr>
        <w:t>行办法》（中华人民共和国财政部令第110号）第三十七条另有规定的除外。</w:t>
      </w:r>
    </w:p>
    <w:p w14:paraId="4588ACFA">
      <w:pPr>
        <w:keepNext w:val="0"/>
        <w:keepLines w:val="0"/>
        <w:pageBreakBefore w:val="0"/>
        <w:widowControl/>
        <w:kinsoku w:val="0"/>
        <w:wordWrap/>
        <w:overflowPunct/>
        <w:topLinePunct w:val="0"/>
        <w:autoSpaceDE w:val="0"/>
        <w:autoSpaceDN w:val="0"/>
        <w:bidi w:val="0"/>
        <w:adjustRightInd w:val="0"/>
        <w:snapToGrid w:val="0"/>
        <w:spacing w:before="20" w:line="360" w:lineRule="auto"/>
        <w:ind w:left="56" w:right="289" w:firstLine="40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同一框架协议采购应当使用统一的采购合同文本，采购人、服务对象</w:t>
      </w:r>
      <w:r>
        <w:rPr>
          <w:rFonts w:hint="eastAsia" w:ascii="仿宋" w:hAnsi="仿宋" w:eastAsia="仿宋" w:cs="仿宋"/>
          <w:color w:val="auto"/>
          <w:spacing w:val="-2"/>
          <w:sz w:val="24"/>
          <w:szCs w:val="24"/>
          <w:highlight w:val="none"/>
        </w:rPr>
        <w:t>和供应商不得擅自改变框架协议约定的合同实质性条款。</w:t>
      </w:r>
    </w:p>
    <w:p w14:paraId="094A6BDD">
      <w:pPr>
        <w:keepNext w:val="0"/>
        <w:keepLines w:val="0"/>
        <w:pageBreakBefore w:val="0"/>
        <w:widowControl/>
        <w:kinsoku w:val="0"/>
        <w:wordWrap/>
        <w:overflowPunct/>
        <w:topLinePunct w:val="0"/>
        <w:autoSpaceDE w:val="0"/>
        <w:autoSpaceDN w:val="0"/>
        <w:bidi w:val="0"/>
        <w:adjustRightInd w:val="0"/>
        <w:snapToGrid w:val="0"/>
        <w:spacing w:before="27" w:line="360" w:lineRule="auto"/>
        <w:ind w:left="48" w:right="323" w:hanging="8"/>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30.3以二次竞价或者顺序轮候方式确定成交供应商的，征</w:t>
      </w:r>
      <w:r>
        <w:rPr>
          <w:rFonts w:hint="eastAsia" w:ascii="仿宋" w:hAnsi="仿宋" w:eastAsia="仿宋" w:cs="仿宋"/>
          <w:color w:val="auto"/>
          <w:spacing w:val="-1"/>
          <w:sz w:val="24"/>
          <w:szCs w:val="24"/>
          <w:highlight w:val="none"/>
        </w:rPr>
        <w:t>集人应当在确定成交供应商后2个</w:t>
      </w:r>
      <w:r>
        <w:rPr>
          <w:rFonts w:hint="eastAsia" w:ascii="仿宋" w:hAnsi="仿宋" w:eastAsia="仿宋" w:cs="仿宋"/>
          <w:color w:val="auto"/>
          <w:spacing w:val="-2"/>
          <w:sz w:val="24"/>
          <w:szCs w:val="24"/>
          <w:highlight w:val="none"/>
        </w:rPr>
        <w:t>工作日内逐笔发布成交结果公告。</w:t>
      </w:r>
    </w:p>
    <w:p w14:paraId="3570FCED">
      <w:pPr>
        <w:keepNext w:val="0"/>
        <w:keepLines w:val="0"/>
        <w:pageBreakBefore w:val="0"/>
        <w:widowControl/>
        <w:kinsoku w:val="0"/>
        <w:wordWrap/>
        <w:overflowPunct/>
        <w:topLinePunct w:val="0"/>
        <w:autoSpaceDE w:val="0"/>
        <w:autoSpaceDN w:val="0"/>
        <w:bidi w:val="0"/>
        <w:adjustRightInd w:val="0"/>
        <w:snapToGrid w:val="0"/>
        <w:spacing w:before="24" w:line="360" w:lineRule="auto"/>
        <w:ind w:left="40" w:right="203"/>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30.4征集人应当在框架协议有效期满后5个工作日内发布</w:t>
      </w:r>
      <w:r>
        <w:rPr>
          <w:rFonts w:hint="eastAsia" w:ascii="仿宋" w:hAnsi="仿宋" w:eastAsia="仿宋" w:cs="仿宋"/>
          <w:color w:val="auto"/>
          <w:sz w:val="24"/>
          <w:szCs w:val="24"/>
          <w:highlight w:val="none"/>
          <w:lang w:val="en-US" w:eastAsia="zh-CN"/>
        </w:rPr>
        <w:t>中标（</w:t>
      </w:r>
      <w:r>
        <w:rPr>
          <w:rFonts w:hint="eastAsia" w:ascii="仿宋" w:hAnsi="仿宋" w:eastAsia="仿宋" w:cs="仿宋"/>
          <w:color w:val="auto"/>
          <w:spacing w:val="-1"/>
          <w:sz w:val="24"/>
          <w:szCs w:val="24"/>
          <w:highlight w:val="none"/>
        </w:rPr>
        <w:t>成交</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pacing w:val="-1"/>
          <w:sz w:val="24"/>
          <w:szCs w:val="24"/>
          <w:highlight w:val="none"/>
        </w:rPr>
        <w:t>结果汇总公告。汇总公告应当</w:t>
      </w:r>
      <w:r>
        <w:rPr>
          <w:rFonts w:hint="eastAsia" w:ascii="仿宋" w:hAnsi="仿宋" w:eastAsia="仿宋" w:cs="仿宋"/>
          <w:color w:val="auto"/>
          <w:spacing w:val="-2"/>
          <w:sz w:val="24"/>
          <w:szCs w:val="24"/>
          <w:highlight w:val="none"/>
        </w:rPr>
        <w:t>包括（</w:t>
      </w:r>
      <w:r>
        <w:rPr>
          <w:rFonts w:hint="eastAsia" w:ascii="仿宋" w:hAnsi="仿宋" w:eastAsia="仿宋" w:cs="仿宋"/>
          <w:color w:val="auto"/>
          <w:spacing w:val="-66"/>
          <w:sz w:val="24"/>
          <w:szCs w:val="24"/>
          <w:highlight w:val="none"/>
        </w:rPr>
        <w:t xml:space="preserve"> </w:t>
      </w:r>
      <w:r>
        <w:rPr>
          <w:rFonts w:hint="eastAsia" w:ascii="仿宋" w:hAnsi="仿宋" w:eastAsia="仿宋" w:cs="仿宋"/>
          <w:color w:val="auto"/>
          <w:spacing w:val="-2"/>
          <w:sz w:val="24"/>
          <w:szCs w:val="24"/>
          <w:highlight w:val="none"/>
        </w:rPr>
        <w:t>一）采购人的名称、地址和联系方式</w:t>
      </w:r>
      <w:r>
        <w:rPr>
          <w:rFonts w:hint="eastAsia" w:ascii="仿宋" w:hAnsi="仿宋" w:eastAsia="仿宋" w:cs="仿宋"/>
          <w:color w:val="auto"/>
          <w:spacing w:val="-17"/>
          <w:sz w:val="24"/>
          <w:szCs w:val="24"/>
          <w:highlight w:val="none"/>
        </w:rPr>
        <w:t>；（</w:t>
      </w:r>
      <w:r>
        <w:rPr>
          <w:rFonts w:hint="eastAsia" w:ascii="仿宋" w:hAnsi="仿宋" w:eastAsia="仿宋" w:cs="仿宋"/>
          <w:color w:val="auto"/>
          <w:spacing w:val="-62"/>
          <w:sz w:val="24"/>
          <w:szCs w:val="24"/>
          <w:highlight w:val="none"/>
        </w:rPr>
        <w:t xml:space="preserve"> </w:t>
      </w:r>
      <w:r>
        <w:rPr>
          <w:rFonts w:hint="eastAsia" w:ascii="仿宋" w:hAnsi="仿宋" w:eastAsia="仿宋" w:cs="仿宋"/>
          <w:color w:val="auto"/>
          <w:spacing w:val="-2"/>
          <w:sz w:val="24"/>
          <w:szCs w:val="24"/>
          <w:highlight w:val="none"/>
        </w:rPr>
        <w:t>二）</w:t>
      </w:r>
      <w:r>
        <w:rPr>
          <w:rFonts w:hint="eastAsia" w:ascii="仿宋" w:hAnsi="仿宋" w:eastAsia="仿宋" w:cs="仿宋"/>
          <w:color w:val="auto"/>
          <w:spacing w:val="-3"/>
          <w:sz w:val="24"/>
          <w:szCs w:val="24"/>
          <w:highlight w:val="none"/>
        </w:rPr>
        <w:t>框架协议采购项目名称、编号内容和所</w:t>
      </w:r>
      <w:r>
        <w:rPr>
          <w:rFonts w:hint="eastAsia" w:ascii="仿宋" w:hAnsi="仿宋" w:eastAsia="仿宋" w:cs="仿宋"/>
          <w:color w:val="auto"/>
          <w:spacing w:val="-1"/>
          <w:sz w:val="24"/>
          <w:szCs w:val="24"/>
          <w:highlight w:val="none"/>
        </w:rPr>
        <w:t>有成交供应商的名称、地址及其成交合同总数和总金额。</w:t>
      </w:r>
    </w:p>
    <w:p w14:paraId="37C0DF75">
      <w:pPr>
        <w:keepNext w:val="0"/>
        <w:keepLines w:val="0"/>
        <w:pageBreakBefore w:val="0"/>
        <w:widowControl/>
        <w:kinsoku w:val="0"/>
        <w:wordWrap/>
        <w:overflowPunct/>
        <w:topLinePunct w:val="0"/>
        <w:autoSpaceDE w:val="0"/>
        <w:autoSpaceDN w:val="0"/>
        <w:bidi w:val="0"/>
        <w:adjustRightInd w:val="0"/>
        <w:snapToGrid w:val="0"/>
        <w:spacing w:before="28" w:line="360" w:lineRule="auto"/>
        <w:ind w:left="4314"/>
        <w:textAlignment w:val="baseline"/>
        <w:outlineLvl w:val="1"/>
        <w:rPr>
          <w:rFonts w:hint="eastAsia" w:ascii="仿宋" w:hAnsi="仿宋" w:eastAsia="仿宋" w:cs="仿宋"/>
          <w:color w:val="auto"/>
          <w:sz w:val="36"/>
          <w:szCs w:val="36"/>
          <w:highlight w:val="none"/>
        </w:rPr>
      </w:pPr>
      <w:r>
        <w:rPr>
          <w:rFonts w:hint="eastAsia" w:ascii="仿宋" w:hAnsi="仿宋" w:eastAsia="仿宋" w:cs="仿宋"/>
          <w:color w:val="auto"/>
          <w:spacing w:val="-12"/>
          <w:sz w:val="36"/>
          <w:szCs w:val="36"/>
          <w:highlight w:val="none"/>
          <w14:textOutline w14:w="5103" w14:cap="sq" w14:cmpd="sng">
            <w14:solidFill>
              <w14:srgbClr w14:val="000000"/>
            </w14:solidFill>
            <w14:prstDash w14:val="solid"/>
            <w14:bevel/>
          </w14:textOutline>
        </w:rPr>
        <w:t>八</w:t>
      </w:r>
      <w:r>
        <w:rPr>
          <w:rFonts w:hint="eastAsia" w:ascii="仿宋" w:hAnsi="仿宋" w:eastAsia="仿宋" w:cs="仿宋"/>
          <w:color w:val="auto"/>
          <w:spacing w:val="10"/>
          <w:sz w:val="36"/>
          <w:szCs w:val="36"/>
          <w:highlight w:val="none"/>
        </w:rPr>
        <w:t xml:space="preserve">  </w:t>
      </w:r>
      <w:r>
        <w:rPr>
          <w:rFonts w:hint="eastAsia" w:ascii="仿宋" w:hAnsi="仿宋" w:eastAsia="仿宋" w:cs="仿宋"/>
          <w:color w:val="auto"/>
          <w:spacing w:val="-12"/>
          <w:sz w:val="36"/>
          <w:szCs w:val="36"/>
          <w:highlight w:val="none"/>
          <w14:textOutline w14:w="5103" w14:cap="sq" w14:cmpd="sng">
            <w14:solidFill>
              <w14:srgbClr w14:val="000000"/>
            </w14:solidFill>
            <w14:prstDash w14:val="solid"/>
            <w14:bevel/>
          </w14:textOutline>
        </w:rPr>
        <w:t>其他</w:t>
      </w:r>
    </w:p>
    <w:p w14:paraId="69C63E6C">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31.履约保证金</w:t>
      </w:r>
    </w:p>
    <w:p w14:paraId="1A3C6725">
      <w:pPr>
        <w:keepNext w:val="0"/>
        <w:keepLines w:val="0"/>
        <w:pageBreakBefore w:val="0"/>
        <w:widowControl/>
        <w:kinsoku w:val="0"/>
        <w:wordWrap/>
        <w:overflowPunct/>
        <w:topLinePunct w:val="0"/>
        <w:autoSpaceDE w:val="0"/>
        <w:autoSpaceDN w:val="0"/>
        <w:bidi w:val="0"/>
        <w:adjustRightInd w:val="0"/>
        <w:snapToGrid w:val="0"/>
        <w:spacing w:before="45" w:line="360" w:lineRule="auto"/>
        <w:ind w:left="42" w:right="203" w:hanging="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31.1如果需要履约保证金，入围供应商应按照</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规定向征集人缴纳履约保证金。经征集人同意，入围供应商也可以自愿采用其他履约保证金的提供方式。</w:t>
      </w:r>
    </w:p>
    <w:p w14:paraId="1FFA465B">
      <w:pPr>
        <w:keepNext w:val="0"/>
        <w:keepLines w:val="0"/>
        <w:pageBreakBefore w:val="0"/>
        <w:widowControl/>
        <w:kinsoku w:val="0"/>
        <w:wordWrap/>
        <w:overflowPunct/>
        <w:topLinePunct w:val="0"/>
        <w:autoSpaceDE w:val="0"/>
        <w:autoSpaceDN w:val="0"/>
        <w:bidi w:val="0"/>
        <w:adjustRightInd w:val="0"/>
        <w:snapToGrid w:val="0"/>
        <w:spacing w:before="23" w:line="360" w:lineRule="auto"/>
        <w:ind w:left="43" w:right="203" w:hanging="3"/>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31.2政府采购信用担保试点范围内的项目，除31.1规定的</w:t>
      </w:r>
      <w:r>
        <w:rPr>
          <w:rFonts w:hint="eastAsia" w:ascii="仿宋" w:hAnsi="仿宋" w:eastAsia="仿宋" w:cs="仿宋"/>
          <w:color w:val="auto"/>
          <w:spacing w:val="-1"/>
          <w:sz w:val="24"/>
          <w:szCs w:val="24"/>
          <w:highlight w:val="none"/>
        </w:rPr>
        <w:t>情形外，入围供应商也可以按照财政部门的规定，向征集人或采购人提供合格的履约担保函。</w:t>
      </w:r>
    </w:p>
    <w:p w14:paraId="5B6B0A0A">
      <w:pPr>
        <w:keepNext w:val="0"/>
        <w:keepLines w:val="0"/>
        <w:pageBreakBefore w:val="0"/>
        <w:widowControl/>
        <w:kinsoku w:val="0"/>
        <w:wordWrap/>
        <w:overflowPunct/>
        <w:topLinePunct w:val="0"/>
        <w:autoSpaceDE w:val="0"/>
        <w:autoSpaceDN w:val="0"/>
        <w:bidi w:val="0"/>
        <w:adjustRightInd w:val="0"/>
        <w:snapToGrid w:val="0"/>
        <w:spacing w:before="26" w:line="360" w:lineRule="auto"/>
        <w:ind w:left="42" w:right="203" w:hanging="2"/>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31.3如果成交供应商没有按照上述履约保证金的规定执行</w:t>
      </w:r>
      <w:r>
        <w:rPr>
          <w:rFonts w:hint="eastAsia" w:ascii="仿宋" w:hAnsi="仿宋" w:eastAsia="仿宋" w:cs="仿宋"/>
          <w:color w:val="auto"/>
          <w:spacing w:val="-1"/>
          <w:sz w:val="24"/>
          <w:szCs w:val="24"/>
          <w:highlight w:val="none"/>
        </w:rPr>
        <w:t>，将被视为放弃成交资格，入围供应商须按征集响应保证承诺书的承诺向征集人赔偿。</w:t>
      </w:r>
    </w:p>
    <w:p w14:paraId="15AC261E">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32.预付款</w:t>
      </w:r>
    </w:p>
    <w:p w14:paraId="1FD2DD59">
      <w:pPr>
        <w:keepNext w:val="0"/>
        <w:keepLines w:val="0"/>
        <w:pageBreakBefore w:val="0"/>
        <w:widowControl/>
        <w:kinsoku w:val="0"/>
        <w:wordWrap/>
        <w:overflowPunct/>
        <w:topLinePunct w:val="0"/>
        <w:autoSpaceDE w:val="0"/>
        <w:autoSpaceDN w:val="0"/>
        <w:bidi w:val="0"/>
        <w:adjustRightInd w:val="0"/>
        <w:snapToGrid w:val="0"/>
        <w:spacing w:before="42" w:line="360" w:lineRule="auto"/>
        <w:ind w:left="43" w:right="203" w:hanging="3"/>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32.1预付款是在指政府采购合同签订后、履行前，采购人</w:t>
      </w:r>
      <w:r>
        <w:rPr>
          <w:rFonts w:hint="eastAsia" w:ascii="仿宋" w:hAnsi="仿宋" w:eastAsia="仿宋" w:cs="仿宋"/>
          <w:color w:val="auto"/>
          <w:spacing w:val="-1"/>
          <w:sz w:val="24"/>
          <w:szCs w:val="24"/>
          <w:highlight w:val="none"/>
        </w:rPr>
        <w:t>向成交供应商预先支付部分合同款项，预付款比例按照</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规定执行。</w:t>
      </w:r>
    </w:p>
    <w:p w14:paraId="395EC21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pacing w:val="-1"/>
          <w:sz w:val="24"/>
          <w:szCs w:val="24"/>
          <w:highlight w:val="none"/>
          <w:u w:val="single" w:color="auto"/>
        </w:rPr>
      </w:pPr>
      <w:r>
        <w:rPr>
          <w:rFonts w:hint="eastAsia" w:ascii="仿宋" w:hAnsi="仿宋" w:eastAsia="仿宋" w:cs="仿宋"/>
          <w:color w:val="auto"/>
          <w:spacing w:val="-1"/>
          <w:sz w:val="24"/>
          <w:szCs w:val="24"/>
          <w:highlight w:val="none"/>
        </w:rPr>
        <w:t>32.2如采购人要求，成交供应商在收到预付款前，需向采购人提供预付款保函。预付款保函是指成交供应商向银行或者有资质的专业的担保机构申请，由其向采购人出具的确保预付款直接或者间接用于政府采购合同履约或者保障政府采购履约质量的银</w:t>
      </w:r>
      <w:r>
        <w:rPr>
          <w:rFonts w:hint="eastAsia" w:ascii="仿宋" w:hAnsi="仿宋" w:eastAsia="仿宋" w:cs="仿宋"/>
          <w:color w:val="auto"/>
          <w:spacing w:val="-2"/>
          <w:sz w:val="24"/>
          <w:szCs w:val="24"/>
          <w:highlight w:val="none"/>
        </w:rPr>
        <w:t>行保函或者担保保函等。</w:t>
      </w:r>
      <w:r>
        <w:rPr>
          <w:rFonts w:hint="eastAsia" w:ascii="仿宋" w:hAnsi="仿宋" w:eastAsia="仿宋" w:cs="仿宋"/>
          <w:color w:val="auto"/>
          <w:spacing w:val="-1"/>
          <w:sz w:val="24"/>
          <w:szCs w:val="24"/>
          <w:highlight w:val="none"/>
        </w:rPr>
        <w:t>32.3本项目采购人不需要支付预付款的情形，见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p>
    <w:p w14:paraId="46B38A4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33.代理服务费</w:t>
      </w:r>
    </w:p>
    <w:p w14:paraId="1ECB9260">
      <w:pPr>
        <w:keepNext w:val="0"/>
        <w:keepLines w:val="0"/>
        <w:pageBreakBefore w:val="0"/>
        <w:widowControl/>
        <w:kinsoku w:val="0"/>
        <w:wordWrap/>
        <w:overflowPunct/>
        <w:topLinePunct w:val="0"/>
        <w:autoSpaceDE w:val="0"/>
        <w:autoSpaceDN w:val="0"/>
        <w:bidi w:val="0"/>
        <w:adjustRightInd w:val="0"/>
        <w:snapToGrid w:val="0"/>
        <w:spacing w:before="44" w:line="360" w:lineRule="auto"/>
        <w:ind w:left="40" w:right="271" w:firstLine="39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本项目是否由入围供应商向采购代理机构支付</w:t>
      </w:r>
      <w:r>
        <w:rPr>
          <w:rFonts w:hint="eastAsia" w:ascii="仿宋" w:hAnsi="仿宋" w:eastAsia="仿宋" w:cs="仿宋"/>
          <w:color w:val="auto"/>
          <w:spacing w:val="-1"/>
          <w:sz w:val="24"/>
          <w:szCs w:val="24"/>
          <w:highlight w:val="none"/>
        </w:rPr>
        <w:t>代理服务费，按照</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规定</w:t>
      </w:r>
      <w:r>
        <w:rPr>
          <w:rFonts w:hint="eastAsia" w:ascii="仿宋" w:hAnsi="仿宋" w:eastAsia="仿宋" w:cs="仿宋"/>
          <w:color w:val="auto"/>
          <w:spacing w:val="-6"/>
          <w:sz w:val="24"/>
          <w:szCs w:val="24"/>
          <w:highlight w:val="none"/>
        </w:rPr>
        <w:t>执行。</w:t>
      </w:r>
    </w:p>
    <w:p w14:paraId="355F10D2">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34.政府采购信用担保</w:t>
      </w:r>
    </w:p>
    <w:p w14:paraId="00D25227">
      <w:pPr>
        <w:keepNext w:val="0"/>
        <w:keepLines w:val="0"/>
        <w:pageBreakBefore w:val="0"/>
        <w:widowControl/>
        <w:kinsoku w:val="0"/>
        <w:wordWrap/>
        <w:overflowPunct/>
        <w:topLinePunct w:val="0"/>
        <w:autoSpaceDE w:val="0"/>
        <w:autoSpaceDN w:val="0"/>
        <w:bidi w:val="0"/>
        <w:adjustRightInd w:val="0"/>
        <w:snapToGrid w:val="0"/>
        <w:spacing w:before="46" w:line="360" w:lineRule="auto"/>
        <w:ind w:left="3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34.1本项目是否属于信用担保试点范围见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w:t>
      </w:r>
    </w:p>
    <w:p w14:paraId="783BE4D7">
      <w:pPr>
        <w:keepNext w:val="0"/>
        <w:keepLines w:val="0"/>
        <w:pageBreakBefore w:val="0"/>
        <w:widowControl/>
        <w:kinsoku w:val="0"/>
        <w:wordWrap/>
        <w:overflowPunct/>
        <w:topLinePunct w:val="0"/>
        <w:autoSpaceDE w:val="0"/>
        <w:autoSpaceDN w:val="0"/>
        <w:bidi w:val="0"/>
        <w:adjustRightInd w:val="0"/>
        <w:snapToGrid w:val="0"/>
        <w:spacing w:before="25" w:line="360" w:lineRule="auto"/>
        <w:ind w:left="42" w:hanging="4"/>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34.2如属于政府采购信用担保试点范围内，中小型企业供应商可以自由按照财政部门的规定，采用履约担保和融资担保。</w:t>
      </w:r>
    </w:p>
    <w:p w14:paraId="648E03F0">
      <w:pPr>
        <w:keepNext w:val="0"/>
        <w:keepLines w:val="0"/>
        <w:pageBreakBefore w:val="0"/>
        <w:widowControl/>
        <w:kinsoku w:val="0"/>
        <w:wordWrap/>
        <w:overflowPunct/>
        <w:topLinePunct w:val="0"/>
        <w:autoSpaceDE w:val="0"/>
        <w:autoSpaceDN w:val="0"/>
        <w:bidi w:val="0"/>
        <w:adjustRightInd w:val="0"/>
        <w:snapToGrid w:val="0"/>
        <w:spacing w:before="22" w:line="360" w:lineRule="auto"/>
        <w:ind w:left="43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34.2.1 供应商递交的履约担保函应符合本征集文件的规定。</w:t>
      </w:r>
    </w:p>
    <w:p w14:paraId="4F91E8FB">
      <w:pPr>
        <w:keepNext w:val="0"/>
        <w:keepLines w:val="0"/>
        <w:pageBreakBefore w:val="0"/>
        <w:widowControl/>
        <w:kinsoku w:val="0"/>
        <w:wordWrap/>
        <w:overflowPunct/>
        <w:topLinePunct w:val="0"/>
        <w:autoSpaceDE w:val="0"/>
        <w:autoSpaceDN w:val="0"/>
        <w:bidi w:val="0"/>
        <w:adjustRightInd w:val="0"/>
        <w:snapToGrid w:val="0"/>
        <w:spacing w:before="25" w:line="360" w:lineRule="auto"/>
        <w:ind w:left="431"/>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34.2.2 成交供应商可以采取融资担保的形</w:t>
      </w:r>
      <w:r>
        <w:rPr>
          <w:rFonts w:hint="eastAsia" w:ascii="仿宋" w:hAnsi="仿宋" w:eastAsia="仿宋" w:cs="仿宋"/>
          <w:color w:val="auto"/>
          <w:spacing w:val="-1"/>
          <w:sz w:val="24"/>
          <w:szCs w:val="24"/>
          <w:highlight w:val="none"/>
        </w:rPr>
        <w:t>式为政府采购项目履约进行融资。</w:t>
      </w:r>
    </w:p>
    <w:p w14:paraId="28E3BB23">
      <w:pPr>
        <w:keepNext w:val="0"/>
        <w:keepLines w:val="0"/>
        <w:pageBreakBefore w:val="0"/>
        <w:widowControl/>
        <w:kinsoku w:val="0"/>
        <w:wordWrap/>
        <w:overflowPunct/>
        <w:topLinePunct w:val="0"/>
        <w:autoSpaceDE w:val="0"/>
        <w:autoSpaceDN w:val="0"/>
        <w:bidi w:val="0"/>
        <w:adjustRightInd w:val="0"/>
        <w:snapToGrid w:val="0"/>
        <w:spacing w:before="25" w:line="360" w:lineRule="auto"/>
        <w:ind w:left="43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34.2.3 合格的政府采购专业信用担保机构见</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w:t>
      </w:r>
    </w:p>
    <w:p w14:paraId="2A278AA1">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35.廉洁自律规定</w:t>
      </w:r>
    </w:p>
    <w:p w14:paraId="4D499F69">
      <w:pPr>
        <w:keepNext w:val="0"/>
        <w:keepLines w:val="0"/>
        <w:pageBreakBefore w:val="0"/>
        <w:widowControl/>
        <w:kinsoku w:val="0"/>
        <w:wordWrap/>
        <w:overflowPunct/>
        <w:topLinePunct w:val="0"/>
        <w:autoSpaceDE w:val="0"/>
        <w:autoSpaceDN w:val="0"/>
        <w:bidi w:val="0"/>
        <w:adjustRightInd w:val="0"/>
        <w:snapToGrid w:val="0"/>
        <w:spacing w:before="44" w:line="360" w:lineRule="auto"/>
        <w:ind w:left="69" w:right="185" w:hanging="31"/>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35.1征集人工作人员不得以不正当手段获取政府采购代理</w:t>
      </w:r>
      <w:r>
        <w:rPr>
          <w:rFonts w:hint="eastAsia" w:ascii="仿宋" w:hAnsi="仿宋" w:eastAsia="仿宋" w:cs="仿宋"/>
          <w:color w:val="auto"/>
          <w:spacing w:val="-1"/>
          <w:sz w:val="24"/>
          <w:szCs w:val="24"/>
          <w:highlight w:val="none"/>
        </w:rPr>
        <w:t>业务，不得与采购人、供应商恶意</w:t>
      </w:r>
      <w:r>
        <w:rPr>
          <w:rFonts w:hint="eastAsia" w:ascii="仿宋" w:hAnsi="仿宋" w:eastAsia="仿宋" w:cs="仿宋"/>
          <w:color w:val="auto"/>
          <w:spacing w:val="-16"/>
          <w:sz w:val="24"/>
          <w:szCs w:val="24"/>
          <w:highlight w:val="none"/>
        </w:rPr>
        <w:t>串通。</w:t>
      </w:r>
    </w:p>
    <w:p w14:paraId="4A3BCAFE">
      <w:pPr>
        <w:keepNext w:val="0"/>
        <w:keepLines w:val="0"/>
        <w:pageBreakBefore w:val="0"/>
        <w:widowControl/>
        <w:kinsoku w:val="0"/>
        <w:wordWrap/>
        <w:overflowPunct/>
        <w:topLinePunct w:val="0"/>
        <w:autoSpaceDE w:val="0"/>
        <w:autoSpaceDN w:val="0"/>
        <w:bidi w:val="0"/>
        <w:adjustRightInd w:val="0"/>
        <w:snapToGrid w:val="0"/>
        <w:spacing w:before="27" w:line="360" w:lineRule="auto"/>
        <w:ind w:left="39" w:right="228" w:hanging="1"/>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35.2征集人工作人员不得接受采购人或者供应商组织的</w:t>
      </w:r>
      <w:r>
        <w:rPr>
          <w:rFonts w:hint="eastAsia" w:ascii="仿宋" w:hAnsi="仿宋" w:eastAsia="仿宋" w:cs="仿宋"/>
          <w:color w:val="auto"/>
          <w:spacing w:val="-2"/>
          <w:sz w:val="24"/>
          <w:szCs w:val="24"/>
          <w:highlight w:val="none"/>
        </w:rPr>
        <w:t>宴请、旅游、娱乐，不得收受礼品、</w:t>
      </w:r>
      <w:r>
        <w:rPr>
          <w:rFonts w:hint="eastAsia" w:ascii="仿宋" w:hAnsi="仿宋" w:eastAsia="仿宋" w:cs="仿宋"/>
          <w:color w:val="auto"/>
          <w:spacing w:val="-1"/>
          <w:sz w:val="24"/>
          <w:szCs w:val="24"/>
          <w:highlight w:val="none"/>
        </w:rPr>
        <w:t>现金、有价证券等，不得向采购人或者供应商报销应当由个人承担的费用。</w:t>
      </w:r>
    </w:p>
    <w:p w14:paraId="3DD8E7A7">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36.人员回避</w:t>
      </w:r>
    </w:p>
    <w:p w14:paraId="4E8F081A">
      <w:pPr>
        <w:keepNext w:val="0"/>
        <w:keepLines w:val="0"/>
        <w:pageBreakBefore w:val="0"/>
        <w:widowControl/>
        <w:kinsoku w:val="0"/>
        <w:wordWrap/>
        <w:overflowPunct/>
        <w:topLinePunct w:val="0"/>
        <w:autoSpaceDE w:val="0"/>
        <w:autoSpaceDN w:val="0"/>
        <w:bidi w:val="0"/>
        <w:adjustRightInd w:val="0"/>
        <w:snapToGrid w:val="0"/>
        <w:spacing w:before="46" w:line="360" w:lineRule="auto"/>
        <w:ind w:left="40" w:right="222" w:firstLine="395"/>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供应商认为征集文件使自己的权益受到损害的</w:t>
      </w:r>
      <w:r>
        <w:rPr>
          <w:rFonts w:hint="eastAsia" w:ascii="仿宋" w:hAnsi="仿宋" w:eastAsia="仿宋" w:cs="仿宋"/>
          <w:color w:val="auto"/>
          <w:spacing w:val="-1"/>
          <w:sz w:val="24"/>
          <w:szCs w:val="24"/>
          <w:highlight w:val="none"/>
        </w:rPr>
        <w:t>，供应商认为征集人员及其相关人员有法律法规所列与其他供应商有利害关系的，均可以向征集人书</w:t>
      </w:r>
      <w:r>
        <w:rPr>
          <w:rFonts w:hint="eastAsia" w:ascii="仿宋" w:hAnsi="仿宋" w:eastAsia="仿宋" w:cs="仿宋"/>
          <w:color w:val="auto"/>
          <w:spacing w:val="-2"/>
          <w:sz w:val="24"/>
          <w:szCs w:val="24"/>
          <w:highlight w:val="none"/>
        </w:rPr>
        <w:t>面提出回避申请，并说明理由。</w:t>
      </w:r>
    </w:p>
    <w:p w14:paraId="4FD96A79">
      <w:pPr>
        <w:keepNext w:val="0"/>
        <w:keepLines w:val="0"/>
        <w:pageBreakBefore w:val="0"/>
        <w:widowControl/>
        <w:kinsoku w:val="0"/>
        <w:wordWrap/>
        <w:overflowPunct/>
        <w:topLinePunct w:val="0"/>
        <w:autoSpaceDE w:val="0"/>
        <w:autoSpaceDN w:val="0"/>
        <w:bidi w:val="0"/>
        <w:adjustRightInd w:val="0"/>
        <w:snapToGrid w:val="0"/>
        <w:spacing w:before="43" w:line="360" w:lineRule="auto"/>
        <w:ind w:left="42"/>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37.质疑的提出与接收</w:t>
      </w:r>
    </w:p>
    <w:p w14:paraId="611391A4">
      <w:pPr>
        <w:keepNext w:val="0"/>
        <w:keepLines w:val="0"/>
        <w:pageBreakBefore w:val="0"/>
        <w:widowControl/>
        <w:kinsoku w:val="0"/>
        <w:wordWrap/>
        <w:overflowPunct/>
        <w:topLinePunct w:val="0"/>
        <w:autoSpaceDE w:val="0"/>
        <w:autoSpaceDN w:val="0"/>
        <w:bidi w:val="0"/>
        <w:adjustRightInd w:val="0"/>
        <w:snapToGrid w:val="0"/>
        <w:spacing w:before="42" w:line="360" w:lineRule="auto"/>
        <w:ind w:left="40" w:right="185" w:hanging="2"/>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37.1供应商认为征集文件、征集过程和入围结果使自己的</w:t>
      </w:r>
      <w:r>
        <w:rPr>
          <w:rFonts w:hint="eastAsia" w:ascii="仿宋" w:hAnsi="仿宋" w:eastAsia="仿宋" w:cs="仿宋"/>
          <w:color w:val="auto"/>
          <w:spacing w:val="-1"/>
          <w:sz w:val="24"/>
          <w:szCs w:val="24"/>
          <w:highlight w:val="none"/>
        </w:rPr>
        <w:t>权益受到损害的，可以根据《中华</w:t>
      </w:r>
      <w:r>
        <w:rPr>
          <w:rFonts w:hint="eastAsia" w:ascii="仿宋" w:hAnsi="仿宋" w:eastAsia="仿宋" w:cs="仿宋"/>
          <w:color w:val="auto"/>
          <w:sz w:val="24"/>
          <w:szCs w:val="24"/>
          <w:highlight w:val="none"/>
        </w:rPr>
        <w:t>人民共和国政府采购法》、《中华人民共和国政府采</w:t>
      </w:r>
      <w:r>
        <w:rPr>
          <w:rFonts w:hint="eastAsia" w:ascii="仿宋" w:hAnsi="仿宋" w:eastAsia="仿宋" w:cs="仿宋"/>
          <w:color w:val="auto"/>
          <w:spacing w:val="-1"/>
          <w:sz w:val="24"/>
          <w:szCs w:val="24"/>
          <w:highlight w:val="none"/>
        </w:rPr>
        <w:t>购法实施条例》和《政府采购质疑和投诉办法》的有关规定，依法向征集人提出质疑。</w:t>
      </w:r>
    </w:p>
    <w:p w14:paraId="4D9330C7">
      <w:pPr>
        <w:keepNext w:val="0"/>
        <w:keepLines w:val="0"/>
        <w:pageBreakBefore w:val="0"/>
        <w:widowControl/>
        <w:kinsoku w:val="0"/>
        <w:wordWrap/>
        <w:overflowPunct/>
        <w:topLinePunct w:val="0"/>
        <w:autoSpaceDE w:val="0"/>
        <w:autoSpaceDN w:val="0"/>
        <w:bidi w:val="0"/>
        <w:adjustRightInd w:val="0"/>
        <w:snapToGrid w:val="0"/>
        <w:spacing w:before="23" w:line="360" w:lineRule="auto"/>
        <w:ind w:left="40" w:right="185" w:hanging="2"/>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37.2质疑供应商应按照财政部制定的《政府采购质疑函范</w:t>
      </w:r>
      <w:r>
        <w:rPr>
          <w:rFonts w:hint="eastAsia" w:ascii="仿宋" w:hAnsi="仿宋" w:eastAsia="仿宋" w:cs="仿宋"/>
          <w:color w:val="auto"/>
          <w:spacing w:val="-1"/>
          <w:sz w:val="24"/>
          <w:szCs w:val="24"/>
          <w:highlight w:val="none"/>
        </w:rPr>
        <w:t>本》格式（可从财政部官方网站下</w:t>
      </w:r>
      <w:r>
        <w:rPr>
          <w:rFonts w:hint="eastAsia" w:ascii="仿宋" w:hAnsi="仿宋" w:eastAsia="仿宋" w:cs="仿宋"/>
          <w:color w:val="auto"/>
          <w:sz w:val="24"/>
          <w:szCs w:val="24"/>
          <w:highlight w:val="none"/>
        </w:rPr>
        <w:t>载）和《政府采购质疑和投诉办法》的要求，在法定</w:t>
      </w:r>
      <w:r>
        <w:rPr>
          <w:rFonts w:hint="eastAsia" w:ascii="仿宋" w:hAnsi="仿宋" w:eastAsia="仿宋" w:cs="仿宋"/>
          <w:color w:val="auto"/>
          <w:spacing w:val="-1"/>
          <w:sz w:val="24"/>
          <w:szCs w:val="24"/>
          <w:highlight w:val="none"/>
        </w:rPr>
        <w:t>质疑期内以书面形式提出质疑，针对同一采购程序环节的质疑次数应符合</w:t>
      </w:r>
      <w:r>
        <w:rPr>
          <w:rFonts w:hint="eastAsia" w:ascii="仿宋" w:hAnsi="仿宋" w:eastAsia="仿宋" w:cs="仿宋"/>
          <w:color w:val="auto"/>
          <w:spacing w:val="-1"/>
          <w:sz w:val="24"/>
          <w:szCs w:val="24"/>
          <w:highlight w:val="none"/>
          <w:u w:val="single" w:color="auto"/>
        </w:rPr>
        <w:t>供应商须知</w:t>
      </w:r>
      <w:r>
        <w:rPr>
          <w:rFonts w:hint="eastAsia" w:ascii="仿宋" w:hAnsi="仿宋" w:eastAsia="仿宋" w:cs="仿宋"/>
          <w:color w:val="auto"/>
          <w:spacing w:val="-1"/>
          <w:sz w:val="24"/>
          <w:szCs w:val="24"/>
          <w:highlight w:val="none"/>
          <w:u w:val="single" w:color="auto"/>
          <w:lang w:eastAsia="zh-CN"/>
        </w:rPr>
        <w:t>前附</w:t>
      </w:r>
      <w:r>
        <w:rPr>
          <w:rFonts w:hint="eastAsia" w:ascii="仿宋" w:hAnsi="仿宋" w:eastAsia="仿宋" w:cs="仿宋"/>
          <w:color w:val="auto"/>
          <w:spacing w:val="-1"/>
          <w:sz w:val="24"/>
          <w:szCs w:val="24"/>
          <w:highlight w:val="none"/>
          <w:u w:val="single" w:color="auto"/>
        </w:rPr>
        <w:t>表</w:t>
      </w:r>
      <w:r>
        <w:rPr>
          <w:rFonts w:hint="eastAsia" w:ascii="仿宋" w:hAnsi="仿宋" w:eastAsia="仿宋" w:cs="仿宋"/>
          <w:color w:val="auto"/>
          <w:spacing w:val="-1"/>
          <w:sz w:val="24"/>
          <w:szCs w:val="24"/>
          <w:highlight w:val="none"/>
        </w:rPr>
        <w:t>的规定。</w:t>
      </w:r>
    </w:p>
    <w:p w14:paraId="5EFBEE43">
      <w:pPr>
        <w:keepNext w:val="0"/>
        <w:keepLines w:val="0"/>
        <w:pageBreakBefore w:val="0"/>
        <w:widowControl/>
        <w:kinsoku w:val="0"/>
        <w:wordWrap/>
        <w:overflowPunct/>
        <w:topLinePunct w:val="0"/>
        <w:autoSpaceDE w:val="0"/>
        <w:autoSpaceDN w:val="0"/>
        <w:bidi w:val="0"/>
        <w:adjustRightInd w:val="0"/>
        <w:snapToGrid w:val="0"/>
        <w:spacing w:before="26" w:line="360" w:lineRule="auto"/>
        <w:ind w:left="40" w:right="271" w:firstLine="394"/>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超出法定质疑期提交的质疑将被拒绝。重复或</w:t>
      </w:r>
      <w:r>
        <w:rPr>
          <w:rFonts w:hint="eastAsia" w:ascii="仿宋" w:hAnsi="仿宋" w:eastAsia="仿宋" w:cs="仿宋"/>
          <w:color w:val="auto"/>
          <w:spacing w:val="-1"/>
          <w:sz w:val="24"/>
          <w:szCs w:val="24"/>
          <w:highlight w:val="none"/>
        </w:rPr>
        <w:t>分次提出的、内容或形式不符合《政府采购质疑和投诉办法》的，质疑供应商将依法承担不利后果。</w:t>
      </w:r>
    </w:p>
    <w:p w14:paraId="5DC6D5F5">
      <w:pPr>
        <w:keepNext w:val="0"/>
        <w:keepLines w:val="0"/>
        <w:pageBreakBefore w:val="0"/>
        <w:widowControl/>
        <w:kinsoku w:val="0"/>
        <w:wordWrap/>
        <w:overflowPunct/>
        <w:topLinePunct w:val="0"/>
        <w:autoSpaceDE w:val="0"/>
        <w:autoSpaceDN w:val="0"/>
        <w:bidi w:val="0"/>
        <w:adjustRightInd w:val="0"/>
        <w:snapToGrid w:val="0"/>
        <w:spacing w:before="26" w:line="360" w:lineRule="auto"/>
        <w:ind w:right="271"/>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37.3质疑函接收部门、联系电话和通讯地址,</w:t>
      </w:r>
    </w:p>
    <w:p w14:paraId="226A3C0E">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新疆誉诚信工程项目管理有限责任公司</w:t>
      </w:r>
    </w:p>
    <w:p w14:paraId="6180B95D">
      <w:pPr>
        <w:pStyle w:val="4"/>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联系电话：15209085733</w:t>
      </w:r>
    </w:p>
    <w:p w14:paraId="1B958BDD">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3DAB06A5">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2A245DD5">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04D59D17">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70BB3DA2">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5B801957">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4F7AEE41">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251AAC83">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65EA1634">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6B549AFB">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395B6254">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291DD3DD">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2A5AB1E2">
      <w:pPr>
        <w:numPr>
          <w:ilvl w:val="0"/>
          <w:numId w:val="0"/>
        </w:numPr>
        <w:spacing w:before="163" w:line="389" w:lineRule="exact"/>
        <w:ind w:leftChars="0"/>
        <w:jc w:val="center"/>
        <w:outlineLvl w:val="0"/>
        <w:rPr>
          <w:rFonts w:hint="eastAsia" w:ascii="仿宋" w:hAnsi="仿宋" w:eastAsia="仿宋" w:cs="仿宋"/>
          <w:b/>
          <w:bCs/>
          <w:color w:val="auto"/>
          <w:spacing w:val="14"/>
          <w:position w:val="-2"/>
          <w:sz w:val="36"/>
          <w:szCs w:val="36"/>
          <w:highlight w:val="none"/>
        </w:rPr>
      </w:pPr>
    </w:p>
    <w:p w14:paraId="4CAD3F47">
      <w:pPr>
        <w:numPr>
          <w:ilvl w:val="0"/>
          <w:numId w:val="0"/>
        </w:numPr>
        <w:spacing w:before="163" w:line="389" w:lineRule="exact"/>
        <w:ind w:leftChars="0"/>
        <w:jc w:val="center"/>
        <w:outlineLvl w:val="0"/>
        <w:rPr>
          <w:rFonts w:hint="eastAsia" w:ascii="仿宋" w:hAnsi="仿宋" w:eastAsia="仿宋" w:cs="仿宋"/>
          <w:b/>
          <w:bCs/>
          <w:color w:val="auto"/>
          <w:spacing w:val="-9"/>
          <w:w w:val="96"/>
          <w:position w:val="-2"/>
          <w:sz w:val="32"/>
          <w:szCs w:val="32"/>
          <w:highlight w:val="none"/>
        </w:rPr>
      </w:pPr>
      <w:r>
        <w:rPr>
          <w:rFonts w:hint="eastAsia" w:ascii="仿宋" w:hAnsi="仿宋" w:eastAsia="仿宋" w:cs="仿宋"/>
          <w:b/>
          <w:bCs/>
          <w:color w:val="auto"/>
          <w:spacing w:val="14"/>
          <w:position w:val="-2"/>
          <w:sz w:val="36"/>
          <w:szCs w:val="36"/>
          <w:highlight w:val="none"/>
        </w:rPr>
        <w:t>第</w:t>
      </w:r>
      <w:r>
        <w:rPr>
          <w:rFonts w:hint="eastAsia" w:ascii="仿宋" w:hAnsi="仿宋" w:eastAsia="仿宋" w:cs="仿宋"/>
          <w:b/>
          <w:bCs/>
          <w:color w:val="auto"/>
          <w:spacing w:val="14"/>
          <w:position w:val="-2"/>
          <w:sz w:val="36"/>
          <w:szCs w:val="36"/>
          <w:highlight w:val="none"/>
          <w:lang w:eastAsia="zh-CN"/>
        </w:rPr>
        <w:t>三</w:t>
      </w:r>
      <w:r>
        <w:rPr>
          <w:rFonts w:hint="eastAsia" w:ascii="仿宋" w:hAnsi="仿宋" w:eastAsia="仿宋" w:cs="仿宋"/>
          <w:b/>
          <w:bCs/>
          <w:color w:val="auto"/>
          <w:spacing w:val="14"/>
          <w:position w:val="-2"/>
          <w:sz w:val="36"/>
          <w:szCs w:val="36"/>
          <w:highlight w:val="none"/>
          <w:lang w:val="en-US" w:eastAsia="zh-CN"/>
        </w:rPr>
        <w:t xml:space="preserve">部分  </w:t>
      </w:r>
      <w:r>
        <w:rPr>
          <w:rFonts w:hint="eastAsia" w:ascii="仿宋" w:hAnsi="仿宋" w:eastAsia="仿宋" w:cs="仿宋"/>
          <w:b/>
          <w:bCs/>
          <w:color w:val="auto"/>
          <w:spacing w:val="14"/>
          <w:position w:val="-2"/>
          <w:sz w:val="36"/>
          <w:szCs w:val="36"/>
          <w:highlight w:val="none"/>
        </w:rPr>
        <w:t>采购需求</w:t>
      </w:r>
    </w:p>
    <w:tbl>
      <w:tblPr>
        <w:tblStyle w:val="16"/>
        <w:tblW w:w="5014" w:type="pct"/>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0" w:type="dxa"/>
          <w:bottom w:w="15" w:type="dxa"/>
          <w:right w:w="15" w:type="dxa"/>
        </w:tblCellMar>
      </w:tblPr>
      <w:tblGrid>
        <w:gridCol w:w="925"/>
        <w:gridCol w:w="2626"/>
        <w:gridCol w:w="2850"/>
        <w:gridCol w:w="2728"/>
        <w:gridCol w:w="728"/>
      </w:tblGrid>
      <w:tr w14:paraId="0046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773" w:hRule="atLeast"/>
        </w:trPr>
        <w:tc>
          <w:tcPr>
            <w:tcW w:w="469" w:type="pct"/>
            <w:shd w:val="clear" w:color="auto" w:fill="EEEEEE"/>
            <w:noWrap w:val="0"/>
            <w:tcMar>
              <w:top w:w="96" w:type="dxa"/>
              <w:left w:w="96" w:type="dxa"/>
              <w:bottom w:w="96" w:type="dxa"/>
              <w:right w:w="96" w:type="dxa"/>
            </w:tcMar>
            <w:vAlign w:val="center"/>
          </w:tcPr>
          <w:p w14:paraId="255DC98C">
            <w:pPr>
              <w:pStyle w:val="4"/>
              <w:spacing w:line="30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序号</w:t>
            </w:r>
          </w:p>
        </w:tc>
        <w:tc>
          <w:tcPr>
            <w:tcW w:w="1331" w:type="pct"/>
            <w:shd w:val="clear" w:color="auto" w:fill="EEEEEE"/>
            <w:noWrap w:val="0"/>
            <w:tcMar>
              <w:top w:w="96" w:type="dxa"/>
              <w:left w:w="96" w:type="dxa"/>
              <w:bottom w:w="96" w:type="dxa"/>
              <w:right w:w="96" w:type="dxa"/>
            </w:tcMar>
            <w:vAlign w:val="center"/>
          </w:tcPr>
          <w:p w14:paraId="0E399527">
            <w:pPr>
              <w:pStyle w:val="4"/>
              <w:spacing w:line="30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采购需求</w:t>
            </w:r>
          </w:p>
        </w:tc>
        <w:tc>
          <w:tcPr>
            <w:tcW w:w="1445" w:type="pct"/>
            <w:shd w:val="clear" w:color="auto" w:fill="EEEEEE"/>
            <w:noWrap w:val="0"/>
            <w:tcMar>
              <w:top w:w="96" w:type="dxa"/>
              <w:left w:w="96" w:type="dxa"/>
              <w:bottom w:w="96" w:type="dxa"/>
              <w:right w:w="96" w:type="dxa"/>
            </w:tcMar>
            <w:vAlign w:val="center"/>
          </w:tcPr>
          <w:p w14:paraId="184849BA">
            <w:pPr>
              <w:pStyle w:val="4"/>
              <w:spacing w:line="301" w:lineRule="auto"/>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主要技术参数</w:t>
            </w:r>
          </w:p>
        </w:tc>
        <w:tc>
          <w:tcPr>
            <w:tcW w:w="1383" w:type="pct"/>
            <w:shd w:val="clear" w:color="auto" w:fill="EEEEEE"/>
            <w:noWrap w:val="0"/>
            <w:tcMar>
              <w:top w:w="96" w:type="dxa"/>
              <w:left w:w="96" w:type="dxa"/>
              <w:bottom w:w="96" w:type="dxa"/>
              <w:right w:w="96" w:type="dxa"/>
            </w:tcMar>
            <w:vAlign w:val="center"/>
          </w:tcPr>
          <w:p w14:paraId="5329A137">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4"/>
                <w:szCs w:val="24"/>
                <w:highlight w:val="none"/>
                <w:lang w:val="en-US" w:eastAsia="zh-CN"/>
              </w:rPr>
              <w:t>最高限价</w:t>
            </w:r>
          </w:p>
        </w:tc>
        <w:tc>
          <w:tcPr>
            <w:tcW w:w="369" w:type="pct"/>
            <w:shd w:val="clear" w:color="auto" w:fill="EEEEEE"/>
            <w:noWrap w:val="0"/>
            <w:tcMar>
              <w:top w:w="96" w:type="dxa"/>
              <w:left w:w="96" w:type="dxa"/>
              <w:bottom w:w="96" w:type="dxa"/>
              <w:right w:w="96" w:type="dxa"/>
            </w:tcMar>
            <w:vAlign w:val="center"/>
          </w:tcPr>
          <w:p w14:paraId="2C724044">
            <w:pPr>
              <w:pStyle w:val="4"/>
              <w:spacing w:line="30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预估采购数量</w:t>
            </w:r>
          </w:p>
        </w:tc>
      </w:tr>
      <w:tr w14:paraId="7DC3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2934" w:hRule="atLeast"/>
        </w:trPr>
        <w:tc>
          <w:tcPr>
            <w:tcW w:w="469" w:type="pct"/>
            <w:noWrap w:val="0"/>
            <w:tcMar>
              <w:top w:w="144" w:type="dxa"/>
              <w:left w:w="96" w:type="dxa"/>
              <w:bottom w:w="144" w:type="dxa"/>
              <w:right w:w="96" w:type="dxa"/>
            </w:tcMar>
            <w:vAlign w:val="center"/>
          </w:tcPr>
          <w:p w14:paraId="6D4AE507">
            <w:pPr>
              <w:pStyle w:val="4"/>
              <w:spacing w:line="30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标项1</w:t>
            </w:r>
          </w:p>
        </w:tc>
        <w:tc>
          <w:tcPr>
            <w:tcW w:w="1331" w:type="pct"/>
            <w:noWrap w:val="0"/>
            <w:tcMar>
              <w:top w:w="144" w:type="dxa"/>
              <w:left w:w="96" w:type="dxa"/>
              <w:bottom w:w="144" w:type="dxa"/>
              <w:right w:w="96" w:type="dxa"/>
            </w:tcMar>
            <w:vAlign w:val="center"/>
          </w:tcPr>
          <w:p w14:paraId="2DD6774C">
            <w:pPr>
              <w:keepNext w:val="0"/>
              <w:keepLines w:val="0"/>
              <w:widowControl/>
              <w:suppressLineNumbers w:val="0"/>
              <w:jc w:val="center"/>
              <w:textAlignment w:val="center"/>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color w:val="auto"/>
                <w:sz w:val="21"/>
                <w:szCs w:val="21"/>
                <w:highlight w:val="none"/>
              </w:rPr>
              <w:t>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年阿图什市危旧房屋和棚户区改造</w:t>
            </w:r>
            <w:r>
              <w:rPr>
                <w:rFonts w:hint="eastAsia" w:ascii="仿宋" w:hAnsi="仿宋" w:eastAsia="仿宋" w:cs="仿宋"/>
                <w:color w:val="auto"/>
                <w:sz w:val="21"/>
                <w:szCs w:val="21"/>
                <w:highlight w:val="none"/>
                <w:lang w:val="en-US" w:eastAsia="zh-CN"/>
              </w:rPr>
              <w:t>房产土地</w:t>
            </w:r>
            <w:r>
              <w:rPr>
                <w:rFonts w:hint="eastAsia" w:ascii="仿宋" w:hAnsi="仿宋" w:eastAsia="仿宋" w:cs="仿宋"/>
                <w:color w:val="auto"/>
                <w:sz w:val="21"/>
                <w:szCs w:val="21"/>
                <w:highlight w:val="none"/>
              </w:rPr>
              <w:t>测绘服务框架协议采购项目</w:t>
            </w:r>
          </w:p>
        </w:tc>
        <w:tc>
          <w:tcPr>
            <w:tcW w:w="1445" w:type="pct"/>
            <w:noWrap w:val="0"/>
            <w:tcMar>
              <w:top w:w="144" w:type="dxa"/>
              <w:left w:w="96" w:type="dxa"/>
              <w:bottom w:w="144" w:type="dxa"/>
              <w:right w:w="96" w:type="dxa"/>
            </w:tcMar>
            <w:vAlign w:val="center"/>
          </w:tcPr>
          <w:p w14:paraId="67D5E129">
            <w:pPr>
              <w:pStyle w:val="4"/>
              <w:spacing w:line="301" w:lineRule="auto"/>
              <w:jc w:val="left"/>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对征收房屋进行测绘评估服务，并出具书面评估报告。</w:t>
            </w:r>
          </w:p>
        </w:tc>
        <w:tc>
          <w:tcPr>
            <w:tcW w:w="1383" w:type="pct"/>
            <w:noWrap w:val="0"/>
            <w:tcMar>
              <w:top w:w="144" w:type="dxa"/>
              <w:left w:w="96" w:type="dxa"/>
              <w:bottom w:w="144" w:type="dxa"/>
              <w:right w:w="96" w:type="dxa"/>
            </w:tcMar>
            <w:vAlign w:val="center"/>
          </w:tcPr>
          <w:p w14:paraId="72F39E5A">
            <w:pPr>
              <w:pStyle w:val="4"/>
              <w:spacing w:line="301" w:lineRule="auto"/>
              <w:jc w:val="left"/>
              <w:rPr>
                <w:rFonts w:hint="default" w:ascii="仿宋" w:hAnsi="仿宋" w:eastAsia="仿宋" w:cs="仿宋"/>
                <w:snapToGrid w:val="0"/>
                <w:color w:val="auto"/>
                <w:kern w:val="0"/>
                <w:sz w:val="21"/>
                <w:szCs w:val="21"/>
                <w:highlight w:val="none"/>
                <w:lang w:val="en-US" w:eastAsia="zh-CN" w:bidi="ar-SA"/>
              </w:rPr>
            </w:pPr>
            <w:r>
              <w:rPr>
                <w:rFonts w:hint="default" w:ascii="仿宋" w:hAnsi="仿宋" w:eastAsia="仿宋" w:cs="仿宋"/>
                <w:color w:val="auto"/>
                <w:sz w:val="21"/>
                <w:szCs w:val="21"/>
                <w:highlight w:val="none"/>
                <w:lang w:val="en-US" w:eastAsia="zh-CN"/>
              </w:rPr>
              <w:t>房屋评估费(控制价)不超过拆迁面积评估值的5‰;</w:t>
            </w:r>
            <w:r>
              <w:rPr>
                <w:rFonts w:hint="eastAsia" w:ascii="仿宋" w:hAnsi="仿宋" w:eastAsia="仿宋" w:cs="仿宋"/>
                <w:color w:val="auto"/>
                <w:sz w:val="21"/>
                <w:szCs w:val="21"/>
                <w:highlight w:val="none"/>
                <w:lang w:val="en-US" w:eastAsia="zh-CN"/>
              </w:rPr>
              <w:t>房产土地</w:t>
            </w:r>
            <w:r>
              <w:rPr>
                <w:rFonts w:hint="eastAsia" w:ascii="仿宋" w:hAnsi="仿宋" w:eastAsia="仿宋" w:cs="仿宋"/>
                <w:color w:val="auto"/>
                <w:sz w:val="21"/>
                <w:szCs w:val="21"/>
                <w:highlight w:val="none"/>
              </w:rPr>
              <w:t>测绘服务</w:t>
            </w:r>
            <w:r>
              <w:rPr>
                <w:rFonts w:hint="eastAsia" w:ascii="仿宋" w:hAnsi="仿宋" w:eastAsia="仿宋" w:cs="仿宋"/>
                <w:color w:val="auto"/>
                <w:sz w:val="21"/>
                <w:szCs w:val="21"/>
                <w:highlight w:val="none"/>
                <w:lang w:val="en-US" w:eastAsia="zh-CN"/>
              </w:rPr>
              <w:t>费</w:t>
            </w:r>
            <w:r>
              <w:rPr>
                <w:rFonts w:hint="default" w:ascii="仿宋" w:hAnsi="仿宋" w:eastAsia="仿宋" w:cs="仿宋"/>
                <w:color w:val="auto"/>
                <w:sz w:val="21"/>
                <w:szCs w:val="21"/>
                <w:highlight w:val="none"/>
                <w:lang w:val="en-US" w:eastAsia="zh-CN"/>
              </w:rPr>
              <w:t>(控制价)按照征收面积计算每平方米不得超过1.70元(供应商在此控制价基础上下浮)。</w:t>
            </w:r>
          </w:p>
        </w:tc>
        <w:tc>
          <w:tcPr>
            <w:tcW w:w="369" w:type="pct"/>
            <w:noWrap w:val="0"/>
            <w:tcMar>
              <w:top w:w="144" w:type="dxa"/>
              <w:left w:w="96" w:type="dxa"/>
              <w:bottom w:w="144" w:type="dxa"/>
              <w:right w:w="96" w:type="dxa"/>
            </w:tcMar>
            <w:vAlign w:val="center"/>
          </w:tcPr>
          <w:p w14:paraId="4650BE02">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5家</w:t>
            </w:r>
          </w:p>
        </w:tc>
      </w:tr>
      <w:tr w14:paraId="5E7B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1774" w:hRule="atLeast"/>
        </w:trPr>
        <w:tc>
          <w:tcPr>
            <w:tcW w:w="469" w:type="pct"/>
            <w:noWrap w:val="0"/>
            <w:tcMar>
              <w:top w:w="144" w:type="dxa"/>
              <w:left w:w="96" w:type="dxa"/>
              <w:bottom w:w="144" w:type="dxa"/>
              <w:right w:w="96" w:type="dxa"/>
            </w:tcMar>
            <w:vAlign w:val="center"/>
          </w:tcPr>
          <w:p w14:paraId="329520B0">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标项2</w:t>
            </w:r>
          </w:p>
        </w:tc>
        <w:tc>
          <w:tcPr>
            <w:tcW w:w="1331" w:type="pct"/>
            <w:noWrap w:val="0"/>
            <w:tcMar>
              <w:top w:w="144" w:type="dxa"/>
              <w:left w:w="96" w:type="dxa"/>
              <w:bottom w:w="144" w:type="dxa"/>
              <w:right w:w="96" w:type="dxa"/>
            </w:tcMar>
            <w:vAlign w:val="center"/>
          </w:tcPr>
          <w:p w14:paraId="14747446">
            <w:pPr>
              <w:keepNext w:val="0"/>
              <w:keepLines w:val="0"/>
              <w:widowControl/>
              <w:suppressLineNumbers w:val="0"/>
              <w:jc w:val="center"/>
              <w:textAlignment w:val="center"/>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2026年阿图什市危旧房屋和棚户区改造设备评估服务框架协议采购项目</w:t>
            </w:r>
          </w:p>
        </w:tc>
        <w:tc>
          <w:tcPr>
            <w:tcW w:w="1445" w:type="pct"/>
            <w:noWrap w:val="0"/>
            <w:tcMar>
              <w:top w:w="144" w:type="dxa"/>
              <w:left w:w="96" w:type="dxa"/>
              <w:bottom w:w="144" w:type="dxa"/>
              <w:right w:w="96" w:type="dxa"/>
            </w:tcMar>
            <w:vAlign w:val="center"/>
          </w:tcPr>
          <w:p w14:paraId="2DD84BDD">
            <w:pPr>
              <w:pStyle w:val="4"/>
              <w:spacing w:line="301" w:lineRule="auto"/>
              <w:jc w:val="left"/>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对征收区域内的设备，按照资产的建造年代及设备的生产日期，进行市场询价，折旧，对其做出合理的估价，并出具书面评估报告。</w:t>
            </w:r>
          </w:p>
        </w:tc>
        <w:tc>
          <w:tcPr>
            <w:tcW w:w="1383" w:type="pct"/>
            <w:noWrap w:val="0"/>
            <w:tcMar>
              <w:top w:w="144" w:type="dxa"/>
              <w:left w:w="96" w:type="dxa"/>
              <w:bottom w:w="144" w:type="dxa"/>
              <w:right w:w="96" w:type="dxa"/>
            </w:tcMar>
            <w:vAlign w:val="center"/>
          </w:tcPr>
          <w:p w14:paraId="4936B403">
            <w:pPr>
              <w:pStyle w:val="4"/>
              <w:spacing w:line="301" w:lineRule="auto"/>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设备评估服务费（控制价）按评估资产价值的18</w:t>
            </w:r>
            <w:r>
              <w:rPr>
                <w:rFonts w:hint="default"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val="en-US" w:eastAsia="zh-CN"/>
              </w:rPr>
              <w:t>收取（供应商在此控制价基础上下浮）。</w:t>
            </w:r>
          </w:p>
        </w:tc>
        <w:tc>
          <w:tcPr>
            <w:tcW w:w="369" w:type="pct"/>
            <w:noWrap w:val="0"/>
            <w:tcMar>
              <w:top w:w="144" w:type="dxa"/>
              <w:left w:w="96" w:type="dxa"/>
              <w:bottom w:w="144" w:type="dxa"/>
              <w:right w:w="96" w:type="dxa"/>
            </w:tcMar>
            <w:vAlign w:val="center"/>
          </w:tcPr>
          <w:p w14:paraId="36C54B69">
            <w:pPr>
              <w:pStyle w:val="4"/>
              <w:spacing w:line="301"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3家</w:t>
            </w:r>
          </w:p>
        </w:tc>
      </w:tr>
      <w:tr w14:paraId="23A2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2571" w:hRule="atLeast"/>
        </w:trPr>
        <w:tc>
          <w:tcPr>
            <w:tcW w:w="469" w:type="pct"/>
            <w:noWrap w:val="0"/>
            <w:tcMar>
              <w:top w:w="144" w:type="dxa"/>
              <w:left w:w="96" w:type="dxa"/>
              <w:bottom w:w="144" w:type="dxa"/>
              <w:right w:w="96" w:type="dxa"/>
            </w:tcMar>
            <w:vAlign w:val="center"/>
          </w:tcPr>
          <w:p w14:paraId="10D9959C">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标项3</w:t>
            </w:r>
          </w:p>
        </w:tc>
        <w:tc>
          <w:tcPr>
            <w:tcW w:w="1331" w:type="pct"/>
            <w:noWrap w:val="0"/>
            <w:tcMar>
              <w:top w:w="144" w:type="dxa"/>
              <w:left w:w="96" w:type="dxa"/>
              <w:bottom w:w="144" w:type="dxa"/>
              <w:right w:w="96" w:type="dxa"/>
            </w:tcMar>
            <w:vAlign w:val="center"/>
          </w:tcPr>
          <w:p w14:paraId="459F048C">
            <w:pPr>
              <w:keepNext w:val="0"/>
              <w:keepLines w:val="0"/>
              <w:widowControl/>
              <w:suppressLineNumbers w:val="0"/>
              <w:jc w:val="center"/>
              <w:textAlignment w:val="center"/>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color w:val="auto"/>
                <w:sz w:val="21"/>
                <w:szCs w:val="21"/>
                <w:highlight w:val="none"/>
                <w:lang w:val="en-US" w:eastAsia="zh-CN"/>
              </w:rPr>
              <w:t>2026年阿图什市危旧房屋和棚户区改造可回收资源评估服务框架协议采购项目</w:t>
            </w:r>
          </w:p>
        </w:tc>
        <w:tc>
          <w:tcPr>
            <w:tcW w:w="1445" w:type="pct"/>
            <w:noWrap w:val="0"/>
            <w:tcMar>
              <w:top w:w="144" w:type="dxa"/>
              <w:left w:w="96" w:type="dxa"/>
              <w:bottom w:w="144" w:type="dxa"/>
              <w:right w:w="96" w:type="dxa"/>
            </w:tcMar>
            <w:vAlign w:val="center"/>
          </w:tcPr>
          <w:p w14:paraId="77B483E4">
            <w:pPr>
              <w:pStyle w:val="4"/>
              <w:spacing w:line="301" w:lineRule="auto"/>
              <w:jc w:val="left"/>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对拆迁区域内的所有可回收资源依法进行评估，评估出可回收资源的自身价值，并出具书面的可回收资源评估报告。</w:t>
            </w:r>
          </w:p>
        </w:tc>
        <w:tc>
          <w:tcPr>
            <w:tcW w:w="1383" w:type="pct"/>
            <w:noWrap w:val="0"/>
            <w:tcMar>
              <w:top w:w="144" w:type="dxa"/>
              <w:left w:w="96" w:type="dxa"/>
              <w:bottom w:w="144" w:type="dxa"/>
              <w:right w:w="96" w:type="dxa"/>
            </w:tcMar>
            <w:vAlign w:val="center"/>
          </w:tcPr>
          <w:p w14:paraId="5BA23DF2">
            <w:pPr>
              <w:pStyle w:val="4"/>
              <w:spacing w:line="301" w:lineRule="auto"/>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每个征收项目的可回收资源总评估费（控制价）不超过此项目可回收资源总评估价的18</w:t>
            </w:r>
            <w:r>
              <w:rPr>
                <w:rFonts w:hint="default"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val="en-US" w:eastAsia="zh-CN"/>
              </w:rPr>
              <w:t>（供应商在此控制价基础上下浮）。</w:t>
            </w:r>
          </w:p>
        </w:tc>
        <w:tc>
          <w:tcPr>
            <w:tcW w:w="369" w:type="pct"/>
            <w:noWrap w:val="0"/>
            <w:tcMar>
              <w:top w:w="144" w:type="dxa"/>
              <w:left w:w="96" w:type="dxa"/>
              <w:bottom w:w="144" w:type="dxa"/>
              <w:right w:w="96" w:type="dxa"/>
            </w:tcMar>
            <w:vAlign w:val="center"/>
          </w:tcPr>
          <w:p w14:paraId="2D54B886">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3家</w:t>
            </w:r>
          </w:p>
        </w:tc>
      </w:tr>
      <w:tr w14:paraId="216C8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1728" w:hRule="atLeast"/>
        </w:trPr>
        <w:tc>
          <w:tcPr>
            <w:tcW w:w="469" w:type="pct"/>
            <w:noWrap w:val="0"/>
            <w:tcMar>
              <w:top w:w="144" w:type="dxa"/>
              <w:left w:w="96" w:type="dxa"/>
              <w:bottom w:w="144" w:type="dxa"/>
              <w:right w:w="96" w:type="dxa"/>
            </w:tcMar>
            <w:vAlign w:val="center"/>
          </w:tcPr>
          <w:p w14:paraId="06684BD4">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标项4</w:t>
            </w:r>
          </w:p>
        </w:tc>
        <w:tc>
          <w:tcPr>
            <w:tcW w:w="1331" w:type="pct"/>
            <w:noWrap w:val="0"/>
            <w:tcMar>
              <w:top w:w="144" w:type="dxa"/>
              <w:left w:w="96" w:type="dxa"/>
              <w:bottom w:w="144" w:type="dxa"/>
              <w:right w:w="96" w:type="dxa"/>
            </w:tcMar>
            <w:vAlign w:val="center"/>
          </w:tcPr>
          <w:p w14:paraId="41E0109F">
            <w:pPr>
              <w:keepNext w:val="0"/>
              <w:keepLines w:val="0"/>
              <w:widowControl/>
              <w:suppressLineNumbers w:val="0"/>
              <w:jc w:val="center"/>
              <w:textAlignment w:val="center"/>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2026年阿图什市危旧房屋和棚户区改造搬家转运服务框架协议采购项目</w:t>
            </w:r>
          </w:p>
        </w:tc>
        <w:tc>
          <w:tcPr>
            <w:tcW w:w="1445" w:type="pct"/>
            <w:noWrap w:val="0"/>
            <w:tcMar>
              <w:top w:w="144" w:type="dxa"/>
              <w:left w:w="96" w:type="dxa"/>
              <w:bottom w:w="144" w:type="dxa"/>
              <w:right w:w="96" w:type="dxa"/>
            </w:tcMar>
            <w:vAlign w:val="center"/>
          </w:tcPr>
          <w:p w14:paraId="1D2F633A">
            <w:pPr>
              <w:pStyle w:val="4"/>
              <w:spacing w:line="301" w:lineRule="auto"/>
              <w:jc w:val="left"/>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将征收房屋内可移动设施，财物等搬运至指定地点，沿途不得丢失或损毁，需要入库存放的按照要求入库摆放整齐，并出具书面清单。</w:t>
            </w:r>
          </w:p>
        </w:tc>
        <w:tc>
          <w:tcPr>
            <w:tcW w:w="1383" w:type="pct"/>
            <w:noWrap w:val="0"/>
            <w:tcMar>
              <w:top w:w="144" w:type="dxa"/>
              <w:left w:w="96" w:type="dxa"/>
              <w:bottom w:w="144" w:type="dxa"/>
              <w:right w:w="96" w:type="dxa"/>
            </w:tcMar>
            <w:vAlign w:val="center"/>
          </w:tcPr>
          <w:p w14:paraId="61AE0EA2">
            <w:pPr>
              <w:pStyle w:val="4"/>
              <w:spacing w:line="301" w:lineRule="auto"/>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根据实际搬运量协商定价。</w:t>
            </w:r>
          </w:p>
        </w:tc>
        <w:tc>
          <w:tcPr>
            <w:tcW w:w="369" w:type="pct"/>
            <w:noWrap w:val="0"/>
            <w:tcMar>
              <w:top w:w="144" w:type="dxa"/>
              <w:left w:w="96" w:type="dxa"/>
              <w:bottom w:w="144" w:type="dxa"/>
              <w:right w:w="96" w:type="dxa"/>
            </w:tcMar>
            <w:vAlign w:val="center"/>
          </w:tcPr>
          <w:p w14:paraId="00DDE51F">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3家</w:t>
            </w:r>
          </w:p>
        </w:tc>
      </w:tr>
      <w:tr w14:paraId="1FFA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1728" w:hRule="atLeast"/>
        </w:trPr>
        <w:tc>
          <w:tcPr>
            <w:tcW w:w="469" w:type="pct"/>
            <w:noWrap w:val="0"/>
            <w:tcMar>
              <w:top w:w="144" w:type="dxa"/>
              <w:left w:w="96" w:type="dxa"/>
              <w:bottom w:w="144" w:type="dxa"/>
              <w:right w:w="96" w:type="dxa"/>
            </w:tcMar>
            <w:vAlign w:val="center"/>
          </w:tcPr>
          <w:p w14:paraId="20779F0F">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标项5</w:t>
            </w:r>
          </w:p>
        </w:tc>
        <w:tc>
          <w:tcPr>
            <w:tcW w:w="1331" w:type="pct"/>
            <w:noWrap w:val="0"/>
            <w:tcMar>
              <w:top w:w="144" w:type="dxa"/>
              <w:left w:w="96" w:type="dxa"/>
              <w:bottom w:w="144" w:type="dxa"/>
              <w:right w:w="96" w:type="dxa"/>
            </w:tcMar>
            <w:vAlign w:val="center"/>
          </w:tcPr>
          <w:p w14:paraId="26BF748A">
            <w:pPr>
              <w:keepNext w:val="0"/>
              <w:keepLines w:val="0"/>
              <w:widowControl/>
              <w:suppressLineNumbers w:val="0"/>
              <w:jc w:val="center"/>
              <w:textAlignment w:val="center"/>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color w:val="auto"/>
                <w:sz w:val="21"/>
                <w:szCs w:val="21"/>
                <w:highlight w:val="none"/>
                <w:lang w:val="en-US" w:eastAsia="zh-CN"/>
              </w:rPr>
              <w:t>2026年阿图什市危旧房屋和棚户区改造资产公证服务框架协议采购项目</w:t>
            </w:r>
          </w:p>
        </w:tc>
        <w:tc>
          <w:tcPr>
            <w:tcW w:w="1445" w:type="pct"/>
            <w:noWrap w:val="0"/>
            <w:tcMar>
              <w:top w:w="144" w:type="dxa"/>
              <w:left w:w="96" w:type="dxa"/>
              <w:bottom w:w="144" w:type="dxa"/>
              <w:right w:w="96" w:type="dxa"/>
            </w:tcMar>
            <w:vAlign w:val="center"/>
          </w:tcPr>
          <w:p w14:paraId="2A3004D8">
            <w:pPr>
              <w:pStyle w:val="4"/>
              <w:spacing w:line="301" w:lineRule="auto"/>
              <w:jc w:val="left"/>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将征收房屋内可移动设施，财物等搬运至指定地点，沿途不得丢失或损毁，需要入库存放的按照要求入库摆放整齐，并出具公证书。</w:t>
            </w:r>
          </w:p>
        </w:tc>
        <w:tc>
          <w:tcPr>
            <w:tcW w:w="1383" w:type="pct"/>
            <w:noWrap w:val="0"/>
            <w:tcMar>
              <w:top w:w="144" w:type="dxa"/>
              <w:left w:w="96" w:type="dxa"/>
              <w:bottom w:w="144" w:type="dxa"/>
              <w:right w:w="96" w:type="dxa"/>
            </w:tcMar>
            <w:vAlign w:val="center"/>
          </w:tcPr>
          <w:p w14:paraId="484E5F7C">
            <w:pPr>
              <w:pStyle w:val="4"/>
              <w:spacing w:line="301" w:lineRule="auto"/>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根据国家取费标准，结合实际搬运量，协商定价。</w:t>
            </w:r>
          </w:p>
        </w:tc>
        <w:tc>
          <w:tcPr>
            <w:tcW w:w="369" w:type="pct"/>
            <w:noWrap w:val="0"/>
            <w:tcMar>
              <w:top w:w="144" w:type="dxa"/>
              <w:left w:w="96" w:type="dxa"/>
              <w:bottom w:w="144" w:type="dxa"/>
              <w:right w:w="96" w:type="dxa"/>
            </w:tcMar>
            <w:vAlign w:val="center"/>
          </w:tcPr>
          <w:p w14:paraId="666BB2A0">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3家</w:t>
            </w:r>
          </w:p>
        </w:tc>
      </w:tr>
      <w:tr w14:paraId="526F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1264" w:hRule="atLeast"/>
        </w:trPr>
        <w:tc>
          <w:tcPr>
            <w:tcW w:w="469" w:type="pct"/>
            <w:noWrap w:val="0"/>
            <w:tcMar>
              <w:top w:w="144" w:type="dxa"/>
              <w:left w:w="96" w:type="dxa"/>
              <w:bottom w:w="144" w:type="dxa"/>
              <w:right w:w="96" w:type="dxa"/>
            </w:tcMar>
            <w:vAlign w:val="center"/>
          </w:tcPr>
          <w:p w14:paraId="3F3E1FF8">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标项6</w:t>
            </w:r>
          </w:p>
        </w:tc>
        <w:tc>
          <w:tcPr>
            <w:tcW w:w="1331" w:type="pct"/>
            <w:noWrap w:val="0"/>
            <w:tcMar>
              <w:top w:w="144" w:type="dxa"/>
              <w:left w:w="96" w:type="dxa"/>
              <w:bottom w:w="144" w:type="dxa"/>
              <w:right w:w="96" w:type="dxa"/>
            </w:tcMar>
            <w:vAlign w:val="center"/>
          </w:tcPr>
          <w:p w14:paraId="75391903">
            <w:pPr>
              <w:keepNext w:val="0"/>
              <w:keepLines w:val="0"/>
              <w:widowControl/>
              <w:suppressLineNumbers w:val="0"/>
              <w:jc w:val="center"/>
              <w:textAlignment w:val="center"/>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color w:val="auto"/>
                <w:sz w:val="21"/>
                <w:szCs w:val="21"/>
                <w:highlight w:val="none"/>
              </w:rPr>
              <w:t>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年阿图什市危旧房屋和棚户区改</w:t>
            </w:r>
            <w:r>
              <w:rPr>
                <w:rFonts w:hint="eastAsia" w:ascii="仿宋" w:hAnsi="仿宋" w:eastAsia="仿宋" w:cs="仿宋"/>
                <w:color w:val="auto"/>
                <w:sz w:val="21"/>
                <w:szCs w:val="21"/>
                <w:highlight w:val="none"/>
                <w:lang w:val="en-US" w:eastAsia="zh-CN"/>
              </w:rPr>
              <w:t>造</w:t>
            </w:r>
            <w:r>
              <w:rPr>
                <w:rFonts w:hint="eastAsia" w:ascii="仿宋" w:hAnsi="仿宋" w:eastAsia="仿宋" w:cs="仿宋"/>
                <w:color w:val="auto"/>
                <w:sz w:val="21"/>
                <w:szCs w:val="21"/>
                <w:highlight w:val="none"/>
              </w:rPr>
              <w:t>垃圾清运服务框架协议采购项目</w:t>
            </w:r>
          </w:p>
        </w:tc>
        <w:tc>
          <w:tcPr>
            <w:tcW w:w="1445" w:type="pct"/>
            <w:noWrap w:val="0"/>
            <w:tcMar>
              <w:top w:w="144" w:type="dxa"/>
              <w:left w:w="96" w:type="dxa"/>
              <w:bottom w:w="144" w:type="dxa"/>
              <w:right w:w="96" w:type="dxa"/>
            </w:tcMar>
            <w:vAlign w:val="center"/>
          </w:tcPr>
          <w:p w14:paraId="54973914">
            <w:pPr>
              <w:pStyle w:val="4"/>
              <w:spacing w:line="301" w:lineRule="auto"/>
              <w:jc w:val="left"/>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对征收房屋进行垃圾清运等服务，并出具实际清运的工程量证明。</w:t>
            </w:r>
          </w:p>
        </w:tc>
        <w:tc>
          <w:tcPr>
            <w:tcW w:w="1383" w:type="pct"/>
            <w:noWrap w:val="0"/>
            <w:tcMar>
              <w:top w:w="144" w:type="dxa"/>
              <w:left w:w="96" w:type="dxa"/>
              <w:bottom w:w="144" w:type="dxa"/>
              <w:right w:w="96" w:type="dxa"/>
            </w:tcMar>
            <w:vAlign w:val="center"/>
          </w:tcPr>
          <w:p w14:paraId="607A6B46">
            <w:pPr>
              <w:pStyle w:val="4"/>
              <w:spacing w:line="301" w:lineRule="auto"/>
              <w:jc w:val="left"/>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color w:val="auto"/>
                <w:sz w:val="21"/>
                <w:szCs w:val="21"/>
                <w:highlight w:val="none"/>
              </w:rPr>
              <w:t>垃圾清运费(控制价)按照征收面积</w:t>
            </w:r>
            <w:r>
              <w:rPr>
                <w:rFonts w:hint="eastAsia" w:ascii="仿宋" w:hAnsi="仿宋" w:eastAsia="仿宋" w:cs="仿宋"/>
                <w:color w:val="auto"/>
                <w:sz w:val="21"/>
                <w:szCs w:val="21"/>
                <w:highlight w:val="none"/>
                <w:lang w:val="en-US" w:eastAsia="zh-CN"/>
              </w:rPr>
              <w:t>计算，</w:t>
            </w:r>
            <w:r>
              <w:rPr>
                <w:rFonts w:hint="eastAsia" w:ascii="仿宋" w:hAnsi="仿宋" w:eastAsia="仿宋" w:cs="仿宋"/>
                <w:color w:val="auto"/>
                <w:sz w:val="21"/>
                <w:szCs w:val="21"/>
                <w:highlight w:val="none"/>
              </w:rPr>
              <w:t>每平方米不得超过43.2元(供应商在此</w:t>
            </w:r>
            <w:r>
              <w:rPr>
                <w:rFonts w:hint="eastAsia" w:ascii="仿宋" w:hAnsi="仿宋" w:eastAsia="仿宋" w:cs="仿宋"/>
                <w:color w:val="auto"/>
                <w:sz w:val="21"/>
                <w:szCs w:val="21"/>
                <w:highlight w:val="none"/>
                <w:lang w:val="en-US" w:eastAsia="zh-CN"/>
              </w:rPr>
              <w:t>控制</w:t>
            </w:r>
            <w:r>
              <w:rPr>
                <w:rFonts w:hint="eastAsia" w:ascii="仿宋" w:hAnsi="仿宋" w:eastAsia="仿宋" w:cs="仿宋"/>
                <w:color w:val="auto"/>
                <w:sz w:val="21"/>
                <w:szCs w:val="21"/>
                <w:highlight w:val="none"/>
              </w:rPr>
              <w:t>价基础上下浮)。</w:t>
            </w:r>
          </w:p>
        </w:tc>
        <w:tc>
          <w:tcPr>
            <w:tcW w:w="369" w:type="pct"/>
            <w:noWrap w:val="0"/>
            <w:tcMar>
              <w:top w:w="144" w:type="dxa"/>
              <w:left w:w="96" w:type="dxa"/>
              <w:bottom w:w="144" w:type="dxa"/>
              <w:right w:w="96" w:type="dxa"/>
            </w:tcMar>
            <w:vAlign w:val="center"/>
          </w:tcPr>
          <w:p w14:paraId="1202305F">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5家</w:t>
            </w:r>
          </w:p>
        </w:tc>
      </w:tr>
      <w:tr w14:paraId="750E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3261" w:hRule="atLeast"/>
        </w:trPr>
        <w:tc>
          <w:tcPr>
            <w:tcW w:w="469" w:type="pct"/>
            <w:noWrap w:val="0"/>
            <w:tcMar>
              <w:top w:w="144" w:type="dxa"/>
              <w:left w:w="96" w:type="dxa"/>
              <w:bottom w:w="144" w:type="dxa"/>
              <w:right w:w="96" w:type="dxa"/>
            </w:tcMar>
            <w:vAlign w:val="center"/>
          </w:tcPr>
          <w:p w14:paraId="03D45D78">
            <w:pPr>
              <w:pStyle w:val="4"/>
              <w:spacing w:line="30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标项7</w:t>
            </w:r>
          </w:p>
        </w:tc>
        <w:tc>
          <w:tcPr>
            <w:tcW w:w="1331" w:type="pct"/>
            <w:noWrap w:val="0"/>
            <w:tcMar>
              <w:top w:w="144" w:type="dxa"/>
              <w:left w:w="96" w:type="dxa"/>
              <w:bottom w:w="144" w:type="dxa"/>
              <w:right w:w="96" w:type="dxa"/>
            </w:tcMar>
            <w:vAlign w:val="center"/>
          </w:tcPr>
          <w:p w14:paraId="130EF86F">
            <w:pPr>
              <w:keepNext w:val="0"/>
              <w:keepLines w:val="0"/>
              <w:widowControl/>
              <w:suppressLineNumbers w:val="0"/>
              <w:jc w:val="center"/>
              <w:textAlignment w:val="center"/>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color w:val="auto"/>
                <w:sz w:val="21"/>
                <w:szCs w:val="21"/>
                <w:highlight w:val="none"/>
              </w:rPr>
              <w:t>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年阿图什市危旧房屋和棚户区</w:t>
            </w:r>
            <w:r>
              <w:rPr>
                <w:rFonts w:hint="eastAsia" w:ascii="仿宋" w:hAnsi="仿宋" w:eastAsia="仿宋" w:cs="仿宋"/>
                <w:color w:val="auto"/>
                <w:sz w:val="21"/>
                <w:szCs w:val="21"/>
                <w:highlight w:val="none"/>
                <w:lang w:val="en-US" w:eastAsia="zh-CN"/>
              </w:rPr>
              <w:t>改造</w:t>
            </w:r>
            <w:r>
              <w:rPr>
                <w:rFonts w:hint="eastAsia" w:ascii="仿宋" w:hAnsi="仿宋" w:eastAsia="仿宋" w:cs="仿宋"/>
                <w:color w:val="auto"/>
                <w:sz w:val="21"/>
                <w:szCs w:val="21"/>
                <w:highlight w:val="none"/>
              </w:rPr>
              <w:t>围挡使用服务框架协议采购项目</w:t>
            </w:r>
          </w:p>
        </w:tc>
        <w:tc>
          <w:tcPr>
            <w:tcW w:w="1445" w:type="pct"/>
            <w:noWrap w:val="0"/>
            <w:tcMar>
              <w:top w:w="144" w:type="dxa"/>
              <w:left w:w="96" w:type="dxa"/>
              <w:bottom w:w="144" w:type="dxa"/>
              <w:right w:w="96" w:type="dxa"/>
            </w:tcMar>
            <w:vAlign w:val="center"/>
          </w:tcPr>
          <w:p w14:paraId="589B1022">
            <w:pPr>
              <w:pStyle w:val="4"/>
              <w:spacing w:line="301" w:lineRule="auto"/>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对</w:t>
            </w:r>
            <w:r>
              <w:rPr>
                <w:rFonts w:hint="eastAsia" w:ascii="仿宋" w:hAnsi="仿宋" w:eastAsia="仿宋" w:cs="仿宋"/>
                <w:color w:val="auto"/>
                <w:sz w:val="21"/>
                <w:szCs w:val="21"/>
                <w:highlight w:val="none"/>
              </w:rPr>
              <w:t>征收房屋区域使用围挡等服务，并出具实际使用围挡的工程量证明</w:t>
            </w:r>
            <w:r>
              <w:rPr>
                <w:rFonts w:hint="eastAsia" w:ascii="仿宋" w:hAnsi="仿宋" w:eastAsia="仿宋" w:cs="仿宋"/>
                <w:color w:val="auto"/>
                <w:sz w:val="21"/>
                <w:szCs w:val="21"/>
                <w:highlight w:val="none"/>
                <w:lang w:eastAsia="zh-CN"/>
              </w:rPr>
              <w:t>。</w:t>
            </w:r>
          </w:p>
          <w:p w14:paraId="57E39FEF">
            <w:pPr>
              <w:pStyle w:val="4"/>
              <w:spacing w:line="301"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围挡规格：</w:t>
            </w:r>
            <w:r>
              <w:rPr>
                <w:rFonts w:hint="eastAsia" w:ascii="仿宋" w:hAnsi="仿宋" w:eastAsia="仿宋" w:cs="仿宋"/>
                <w:color w:val="auto"/>
                <w:sz w:val="21"/>
                <w:szCs w:val="21"/>
                <w:highlight w:val="none"/>
                <w:lang w:val="en-US" w:eastAsia="zh-CN"/>
              </w:rPr>
              <w:t>4米</w:t>
            </w:r>
            <w:r>
              <w:rPr>
                <w:rFonts w:hint="eastAsia" w:ascii="仿宋" w:hAnsi="仿宋" w:eastAsia="仿宋" w:cs="仿宋"/>
                <w:color w:val="auto"/>
                <w:sz w:val="21"/>
                <w:szCs w:val="21"/>
                <w:highlight w:val="none"/>
              </w:rPr>
              <w:t>高</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3米高</w:t>
            </w:r>
            <w:r>
              <w:rPr>
                <w:rFonts w:hint="eastAsia" w:ascii="仿宋" w:hAnsi="仿宋" w:eastAsia="仿宋" w:cs="仿宋"/>
                <w:color w:val="auto"/>
                <w:sz w:val="21"/>
                <w:szCs w:val="21"/>
                <w:highlight w:val="none"/>
              </w:rPr>
              <w:t>统一使用绿油漆底色铁质围挡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可随时拆卸，方便运输，需在当地购买保险。</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质保期1年</w:t>
            </w:r>
            <w:r>
              <w:rPr>
                <w:rFonts w:hint="eastAsia" w:ascii="仿宋" w:hAnsi="仿宋" w:eastAsia="仿宋" w:cs="仿宋"/>
                <w:color w:val="auto"/>
                <w:sz w:val="21"/>
                <w:szCs w:val="21"/>
                <w:highlight w:val="none"/>
                <w:lang w:eastAsia="zh-CN"/>
              </w:rPr>
              <w:t>）</w:t>
            </w:r>
          </w:p>
          <w:p w14:paraId="0F3B5DD6">
            <w:pPr>
              <w:pStyle w:val="4"/>
              <w:spacing w:line="301" w:lineRule="auto"/>
              <w:jc w:val="left"/>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为响应绿色施工、规范项目围挡的回收、检修、再利用，避免资源浪费。</w:t>
            </w:r>
          </w:p>
        </w:tc>
        <w:tc>
          <w:tcPr>
            <w:tcW w:w="1383" w:type="pct"/>
            <w:noWrap w:val="0"/>
            <w:tcMar>
              <w:top w:w="144" w:type="dxa"/>
              <w:left w:w="96" w:type="dxa"/>
              <w:bottom w:w="144" w:type="dxa"/>
              <w:right w:w="96" w:type="dxa"/>
            </w:tcMar>
            <w:vAlign w:val="center"/>
          </w:tcPr>
          <w:p w14:paraId="6C4E10C9">
            <w:pPr>
              <w:pStyle w:val="4"/>
              <w:spacing w:line="301"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围挡使用费(控制价)按照实际使用长度计算，每米不超过240元(供应商在此控制价基础上下浮)。</w:t>
            </w:r>
          </w:p>
        </w:tc>
        <w:tc>
          <w:tcPr>
            <w:tcW w:w="369" w:type="pct"/>
            <w:noWrap w:val="0"/>
            <w:tcMar>
              <w:top w:w="144" w:type="dxa"/>
              <w:left w:w="96" w:type="dxa"/>
              <w:bottom w:w="144" w:type="dxa"/>
              <w:right w:w="96" w:type="dxa"/>
            </w:tcMar>
            <w:vAlign w:val="center"/>
          </w:tcPr>
          <w:p w14:paraId="04C99243">
            <w:pPr>
              <w:pStyle w:val="4"/>
              <w:spacing w:line="301" w:lineRule="auto"/>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3家</w:t>
            </w:r>
          </w:p>
        </w:tc>
      </w:tr>
      <w:tr w14:paraId="7433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1642" w:hRule="atLeast"/>
        </w:trPr>
        <w:tc>
          <w:tcPr>
            <w:tcW w:w="469" w:type="pct"/>
            <w:noWrap w:val="0"/>
            <w:tcMar>
              <w:top w:w="144" w:type="dxa"/>
              <w:left w:w="96" w:type="dxa"/>
              <w:bottom w:w="144" w:type="dxa"/>
              <w:right w:w="96" w:type="dxa"/>
            </w:tcMar>
            <w:vAlign w:val="center"/>
          </w:tcPr>
          <w:p w14:paraId="5221F767">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标项8</w:t>
            </w:r>
          </w:p>
        </w:tc>
        <w:tc>
          <w:tcPr>
            <w:tcW w:w="1331" w:type="pct"/>
            <w:noWrap w:val="0"/>
            <w:tcMar>
              <w:top w:w="144" w:type="dxa"/>
              <w:left w:w="96" w:type="dxa"/>
              <w:bottom w:w="144" w:type="dxa"/>
              <w:right w:w="96" w:type="dxa"/>
            </w:tcMar>
            <w:vAlign w:val="center"/>
          </w:tcPr>
          <w:p w14:paraId="2A287B96">
            <w:pPr>
              <w:keepNext w:val="0"/>
              <w:keepLines w:val="0"/>
              <w:widowControl/>
              <w:suppressLineNumbers w:val="0"/>
              <w:jc w:val="center"/>
              <w:textAlignment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2026年阿图什市危旧房屋和棚户区改造跟踪审计服务框架协议采购项目</w:t>
            </w:r>
          </w:p>
        </w:tc>
        <w:tc>
          <w:tcPr>
            <w:tcW w:w="1445" w:type="pct"/>
            <w:noWrap w:val="0"/>
            <w:tcMar>
              <w:top w:w="144" w:type="dxa"/>
              <w:left w:w="96" w:type="dxa"/>
              <w:bottom w:w="144" w:type="dxa"/>
              <w:right w:w="96" w:type="dxa"/>
            </w:tcMar>
            <w:vAlign w:val="center"/>
          </w:tcPr>
          <w:p w14:paraId="5DFB2675">
            <w:pPr>
              <w:spacing w:line="301" w:lineRule="auto"/>
              <w:jc w:val="left"/>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对房屋评估、土地测绘、垃圾清运、围挡使用、资产评估、招标代理等服务及总征收资金进行跟踪审计，并出具书面审计报告。</w:t>
            </w:r>
          </w:p>
        </w:tc>
        <w:tc>
          <w:tcPr>
            <w:tcW w:w="1383" w:type="pct"/>
            <w:noWrap w:val="0"/>
            <w:tcMar>
              <w:top w:w="144" w:type="dxa"/>
              <w:left w:w="96" w:type="dxa"/>
              <w:bottom w:w="144" w:type="dxa"/>
              <w:right w:w="96" w:type="dxa"/>
            </w:tcMar>
            <w:vAlign w:val="center"/>
          </w:tcPr>
          <w:p w14:paraId="1EAFE372">
            <w:pPr>
              <w:spacing w:line="301"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每个征收项目的总审计费(控制价)不超过该项目征收最终审定价的10‰(供应商在此控制价基础上下浮)。</w:t>
            </w:r>
          </w:p>
        </w:tc>
        <w:tc>
          <w:tcPr>
            <w:tcW w:w="369" w:type="pct"/>
            <w:noWrap w:val="0"/>
            <w:tcMar>
              <w:top w:w="144" w:type="dxa"/>
              <w:left w:w="96" w:type="dxa"/>
              <w:bottom w:w="144" w:type="dxa"/>
              <w:right w:w="96" w:type="dxa"/>
            </w:tcMar>
            <w:vAlign w:val="center"/>
          </w:tcPr>
          <w:p w14:paraId="2665FCFB">
            <w:pPr>
              <w:pStyle w:val="4"/>
              <w:spacing w:line="301" w:lineRule="auto"/>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10家</w:t>
            </w:r>
          </w:p>
        </w:tc>
      </w:tr>
      <w:tr w14:paraId="006E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1154" w:hRule="atLeast"/>
        </w:trPr>
        <w:tc>
          <w:tcPr>
            <w:tcW w:w="469" w:type="pct"/>
            <w:noWrap w:val="0"/>
            <w:tcMar>
              <w:top w:w="144" w:type="dxa"/>
              <w:left w:w="96" w:type="dxa"/>
              <w:bottom w:w="144" w:type="dxa"/>
              <w:right w:w="96" w:type="dxa"/>
            </w:tcMar>
            <w:vAlign w:val="center"/>
          </w:tcPr>
          <w:p w14:paraId="47F51BCE">
            <w:pPr>
              <w:pStyle w:val="4"/>
              <w:spacing w:line="301"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标项9</w:t>
            </w:r>
          </w:p>
        </w:tc>
        <w:tc>
          <w:tcPr>
            <w:tcW w:w="1331" w:type="pct"/>
            <w:noWrap w:val="0"/>
            <w:tcMar>
              <w:top w:w="144" w:type="dxa"/>
              <w:left w:w="96" w:type="dxa"/>
              <w:bottom w:w="144" w:type="dxa"/>
              <w:right w:w="96" w:type="dxa"/>
            </w:tcMar>
            <w:vAlign w:val="center"/>
          </w:tcPr>
          <w:p w14:paraId="74754A4B">
            <w:pPr>
              <w:keepNext w:val="0"/>
              <w:keepLines w:val="0"/>
              <w:widowControl/>
              <w:suppressLineNumbers w:val="0"/>
              <w:jc w:val="center"/>
              <w:textAlignment w:val="center"/>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2026年阿图什市危旧房屋和棚户区改造房产土地和财产评估服务框架协议采购项目</w:t>
            </w:r>
          </w:p>
        </w:tc>
        <w:tc>
          <w:tcPr>
            <w:tcW w:w="1445" w:type="pct"/>
            <w:noWrap w:val="0"/>
            <w:tcMar>
              <w:top w:w="144" w:type="dxa"/>
              <w:left w:w="96" w:type="dxa"/>
              <w:bottom w:w="144" w:type="dxa"/>
              <w:right w:w="96" w:type="dxa"/>
            </w:tcMar>
            <w:vAlign w:val="center"/>
          </w:tcPr>
          <w:p w14:paraId="73418DDC">
            <w:pPr>
              <w:spacing w:line="301" w:lineRule="auto"/>
              <w:jc w:val="left"/>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对征收房屋进行房产土地和财产等评估服务，并出具书面评估报告。</w:t>
            </w:r>
          </w:p>
        </w:tc>
        <w:tc>
          <w:tcPr>
            <w:tcW w:w="1383" w:type="pct"/>
            <w:noWrap w:val="0"/>
            <w:tcMar>
              <w:top w:w="144" w:type="dxa"/>
              <w:left w:w="96" w:type="dxa"/>
              <w:bottom w:w="144" w:type="dxa"/>
              <w:right w:w="96" w:type="dxa"/>
            </w:tcMar>
            <w:vAlign w:val="center"/>
          </w:tcPr>
          <w:p w14:paraId="55A09298">
            <w:pPr>
              <w:spacing w:line="301"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房产土地和财产评估费(控制价)不超过拆迁面积评估值的5‰。</w:t>
            </w:r>
          </w:p>
        </w:tc>
        <w:tc>
          <w:tcPr>
            <w:tcW w:w="369" w:type="pct"/>
            <w:noWrap w:val="0"/>
            <w:tcMar>
              <w:top w:w="144" w:type="dxa"/>
              <w:left w:w="96" w:type="dxa"/>
              <w:bottom w:w="144" w:type="dxa"/>
              <w:right w:w="96" w:type="dxa"/>
            </w:tcMar>
            <w:vAlign w:val="center"/>
          </w:tcPr>
          <w:p w14:paraId="550320B2">
            <w:pPr>
              <w:pStyle w:val="4"/>
              <w:spacing w:line="301" w:lineRule="auto"/>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3家</w:t>
            </w:r>
          </w:p>
        </w:tc>
      </w:tr>
      <w:tr w14:paraId="5D75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15" w:type="dxa"/>
            <w:right w:w="15" w:type="dxa"/>
          </w:tblCellMar>
        </w:tblPrEx>
        <w:trPr>
          <w:trHeight w:val="2058" w:hRule="atLeast"/>
        </w:trPr>
        <w:tc>
          <w:tcPr>
            <w:tcW w:w="469" w:type="pct"/>
            <w:noWrap w:val="0"/>
            <w:tcMar>
              <w:top w:w="144" w:type="dxa"/>
              <w:left w:w="96" w:type="dxa"/>
              <w:bottom w:w="144" w:type="dxa"/>
              <w:right w:w="96" w:type="dxa"/>
            </w:tcMar>
            <w:vAlign w:val="center"/>
          </w:tcPr>
          <w:p w14:paraId="36D7BA32">
            <w:pPr>
              <w:pStyle w:val="4"/>
              <w:spacing w:line="301"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标项10</w:t>
            </w:r>
          </w:p>
        </w:tc>
        <w:tc>
          <w:tcPr>
            <w:tcW w:w="1331" w:type="pct"/>
            <w:noWrap w:val="0"/>
            <w:tcMar>
              <w:top w:w="144" w:type="dxa"/>
              <w:left w:w="96" w:type="dxa"/>
              <w:bottom w:w="144" w:type="dxa"/>
              <w:right w:w="96" w:type="dxa"/>
            </w:tcMar>
            <w:vAlign w:val="center"/>
          </w:tcPr>
          <w:p w14:paraId="4123582A">
            <w:pPr>
              <w:keepNext w:val="0"/>
              <w:keepLines w:val="0"/>
              <w:widowControl/>
              <w:suppressLineNumbers w:val="0"/>
              <w:jc w:val="center"/>
              <w:textAlignment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2026年阿图什市危旧房屋和棚户区改造社会稳定评估服务框架协议采购项目</w:t>
            </w:r>
          </w:p>
        </w:tc>
        <w:tc>
          <w:tcPr>
            <w:tcW w:w="1445" w:type="pct"/>
            <w:noWrap w:val="0"/>
            <w:tcMar>
              <w:top w:w="144" w:type="dxa"/>
              <w:left w:w="96" w:type="dxa"/>
              <w:bottom w:w="144" w:type="dxa"/>
              <w:right w:w="96" w:type="dxa"/>
            </w:tcMar>
            <w:vAlign w:val="center"/>
          </w:tcPr>
          <w:p w14:paraId="18E23A75">
            <w:pPr>
              <w:spacing w:line="301" w:lineRule="auto"/>
              <w:jc w:val="left"/>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在项目开展前，对社会稳定风险进行调查分析，查找并列出风险点、风险发生的可能性及影响程度，提出防范和化解风险的方案措施，确定社会稳定风险等级等，并出具书面评估报告。投标企业须在政法部门备案。</w:t>
            </w:r>
          </w:p>
        </w:tc>
        <w:tc>
          <w:tcPr>
            <w:tcW w:w="1383" w:type="pct"/>
            <w:noWrap w:val="0"/>
            <w:tcMar>
              <w:top w:w="144" w:type="dxa"/>
              <w:left w:w="96" w:type="dxa"/>
              <w:bottom w:w="144" w:type="dxa"/>
              <w:right w:w="96" w:type="dxa"/>
            </w:tcMar>
            <w:vAlign w:val="center"/>
          </w:tcPr>
          <w:p w14:paraId="2F597974">
            <w:pPr>
              <w:spacing w:line="301"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结合实际服务内容，双方协商定价。</w:t>
            </w:r>
          </w:p>
        </w:tc>
        <w:tc>
          <w:tcPr>
            <w:tcW w:w="369" w:type="pct"/>
            <w:noWrap w:val="0"/>
            <w:tcMar>
              <w:top w:w="144" w:type="dxa"/>
              <w:left w:w="96" w:type="dxa"/>
              <w:bottom w:w="144" w:type="dxa"/>
              <w:right w:w="96" w:type="dxa"/>
            </w:tcMar>
            <w:vAlign w:val="center"/>
          </w:tcPr>
          <w:p w14:paraId="3B69BECF">
            <w:pPr>
              <w:pStyle w:val="4"/>
              <w:spacing w:line="301" w:lineRule="auto"/>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lang w:val="en-US" w:eastAsia="zh-CN"/>
              </w:rPr>
              <w:t>6家</w:t>
            </w:r>
          </w:p>
        </w:tc>
      </w:tr>
    </w:tbl>
    <w:p w14:paraId="2AEC1CC4">
      <w:pPr>
        <w:spacing w:before="51" w:line="227" w:lineRule="auto"/>
        <w:ind w:left="554"/>
        <w:outlineLvl w:val="1"/>
        <w:rPr>
          <w:rFonts w:hint="eastAsia" w:ascii="仿宋" w:hAnsi="仿宋" w:eastAsia="仿宋" w:cs="仿宋"/>
          <w:color w:val="auto"/>
          <w:spacing w:val="4"/>
          <w:sz w:val="23"/>
          <w:szCs w:val="23"/>
          <w:highlight w:val="none"/>
        </w:rPr>
      </w:pPr>
    </w:p>
    <w:p w14:paraId="07496F60">
      <w:pPr>
        <w:spacing w:before="51" w:line="227" w:lineRule="auto"/>
        <w:ind w:left="55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一、商务要求</w:t>
      </w:r>
    </w:p>
    <w:p w14:paraId="52625C91">
      <w:pPr>
        <w:spacing w:before="27" w:line="227" w:lineRule="auto"/>
        <w:ind w:left="57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（一）成果交付时间：甲方指定时间</w:t>
      </w:r>
    </w:p>
    <w:p w14:paraId="3F04568B">
      <w:pPr>
        <w:spacing w:before="183" w:line="227" w:lineRule="auto"/>
        <w:ind w:left="57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（二）成果交付地点：甲方指定地点</w:t>
      </w:r>
    </w:p>
    <w:p w14:paraId="486F2E6A">
      <w:pPr>
        <w:spacing w:before="182" w:line="226" w:lineRule="auto"/>
        <w:ind w:left="57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（三）报价要求</w:t>
      </w:r>
    </w:p>
    <w:p w14:paraId="4C37E653">
      <w:pPr>
        <w:spacing w:before="184" w:line="227" w:lineRule="auto"/>
        <w:ind w:firstLine="492" w:firstLineChars="200"/>
        <w:outlineLvl w:val="1"/>
        <w:rPr>
          <w:rFonts w:hint="eastAsia" w:ascii="仿宋" w:hAnsi="仿宋" w:eastAsia="仿宋" w:cs="仿宋"/>
          <w:b w:val="0"/>
          <w:bCs w:val="0"/>
          <w:color w:val="auto"/>
          <w:sz w:val="23"/>
          <w:szCs w:val="23"/>
          <w:highlight w:val="none"/>
        </w:rPr>
      </w:pPr>
      <w:r>
        <w:rPr>
          <w:rFonts w:hint="eastAsia" w:ascii="仿宋" w:hAnsi="仿宋" w:eastAsia="仿宋" w:cs="仿宋"/>
          <w:b w:val="0"/>
          <w:bCs w:val="0"/>
          <w:color w:val="auto"/>
          <w:spacing w:val="8"/>
          <w:sz w:val="23"/>
          <w:szCs w:val="23"/>
          <w:highlight w:val="none"/>
        </w:rPr>
        <w:t>供应商应按</w:t>
      </w:r>
      <w:r>
        <w:rPr>
          <w:rFonts w:hint="eastAsia" w:ascii="仿宋" w:hAnsi="仿宋" w:eastAsia="仿宋" w:cs="仿宋"/>
          <w:b w:val="0"/>
          <w:bCs w:val="0"/>
          <w:color w:val="auto"/>
          <w:spacing w:val="8"/>
          <w:sz w:val="23"/>
          <w:szCs w:val="23"/>
          <w:highlight w:val="none"/>
          <w:lang w:val="en-US" w:eastAsia="zh-CN"/>
        </w:rPr>
        <w:t>征集</w:t>
      </w:r>
      <w:r>
        <w:rPr>
          <w:rFonts w:hint="eastAsia" w:ascii="仿宋" w:hAnsi="仿宋" w:eastAsia="仿宋" w:cs="仿宋"/>
          <w:b w:val="0"/>
          <w:bCs w:val="0"/>
          <w:color w:val="auto"/>
          <w:spacing w:val="8"/>
          <w:sz w:val="23"/>
          <w:szCs w:val="23"/>
          <w:highlight w:val="none"/>
        </w:rPr>
        <w:t>文件规定的服务要求、责任范围和合同条</w:t>
      </w:r>
      <w:r>
        <w:rPr>
          <w:rFonts w:hint="eastAsia" w:ascii="仿宋" w:hAnsi="仿宋" w:eastAsia="仿宋" w:cs="仿宋"/>
          <w:b w:val="0"/>
          <w:bCs w:val="0"/>
          <w:color w:val="auto"/>
          <w:spacing w:val="7"/>
          <w:sz w:val="23"/>
          <w:szCs w:val="23"/>
          <w:highlight w:val="none"/>
        </w:rPr>
        <w:t>件，</w:t>
      </w:r>
      <w:r>
        <w:rPr>
          <w:rFonts w:hint="eastAsia" w:ascii="仿宋" w:hAnsi="仿宋" w:eastAsia="仿宋" w:cs="仿宋"/>
          <w:b w:val="0"/>
          <w:bCs w:val="0"/>
          <w:color w:val="auto"/>
          <w:spacing w:val="7"/>
          <w:sz w:val="23"/>
          <w:szCs w:val="23"/>
          <w:highlight w:val="none"/>
          <w:lang w:val="en-US" w:eastAsia="zh-CN"/>
        </w:rPr>
        <w:t>用（%）</w:t>
      </w:r>
      <w:r>
        <w:rPr>
          <w:rFonts w:hint="eastAsia" w:ascii="仿宋" w:hAnsi="仿宋" w:eastAsia="仿宋" w:cs="仿宋"/>
          <w:b w:val="0"/>
          <w:bCs w:val="0"/>
          <w:color w:val="auto"/>
          <w:spacing w:val="7"/>
          <w:sz w:val="23"/>
          <w:szCs w:val="23"/>
          <w:highlight w:val="none"/>
        </w:rPr>
        <w:t>进行报</w:t>
      </w:r>
      <w:r>
        <w:rPr>
          <w:rFonts w:hint="eastAsia" w:ascii="仿宋" w:hAnsi="仿宋" w:eastAsia="仿宋" w:cs="仿宋"/>
          <w:b w:val="0"/>
          <w:bCs w:val="0"/>
          <w:color w:val="auto"/>
          <w:spacing w:val="-1"/>
          <w:sz w:val="23"/>
          <w:szCs w:val="23"/>
          <w:highlight w:val="none"/>
        </w:rPr>
        <w:t>价。</w:t>
      </w:r>
    </w:p>
    <w:p w14:paraId="436AE0AB">
      <w:pPr>
        <w:spacing w:before="184" w:line="226" w:lineRule="auto"/>
        <w:ind w:left="548"/>
        <w:outlineLvl w:val="1"/>
        <w:rPr>
          <w:rFonts w:hint="eastAsia" w:ascii="仿宋" w:hAnsi="仿宋" w:eastAsia="仿宋" w:cs="仿宋"/>
          <w:b w:val="0"/>
          <w:bCs w:val="0"/>
          <w:color w:val="auto"/>
          <w:sz w:val="23"/>
          <w:szCs w:val="23"/>
          <w:highlight w:val="none"/>
        </w:rPr>
      </w:pPr>
      <w:r>
        <w:rPr>
          <w:rFonts w:hint="eastAsia" w:ascii="仿宋" w:hAnsi="仿宋" w:eastAsia="仿宋" w:cs="仿宋"/>
          <w:b w:val="0"/>
          <w:bCs w:val="0"/>
          <w:color w:val="auto"/>
          <w:spacing w:val="9"/>
          <w:sz w:val="23"/>
          <w:szCs w:val="23"/>
          <w:highlight w:val="none"/>
        </w:rPr>
        <w:t>供应商必须按报价一览表和分项价格表的内容和格式要求填写各项服务的分项价格和</w:t>
      </w:r>
    </w:p>
    <w:p w14:paraId="70CC1CFF">
      <w:pPr>
        <w:spacing w:before="169" w:line="483" w:lineRule="exact"/>
        <w:ind w:left="560"/>
        <w:rPr>
          <w:rFonts w:hint="eastAsia" w:ascii="仿宋" w:hAnsi="仿宋" w:eastAsia="仿宋" w:cs="仿宋"/>
          <w:b w:val="0"/>
          <w:bCs w:val="0"/>
          <w:color w:val="auto"/>
          <w:sz w:val="23"/>
          <w:szCs w:val="23"/>
          <w:highlight w:val="none"/>
        </w:rPr>
      </w:pPr>
      <w:r>
        <w:rPr>
          <w:rFonts w:hint="eastAsia" w:ascii="仿宋" w:hAnsi="仿宋" w:eastAsia="仿宋" w:cs="仿宋"/>
          <w:b w:val="0"/>
          <w:bCs w:val="0"/>
          <w:color w:val="auto"/>
          <w:spacing w:val="8"/>
          <w:position w:val="18"/>
          <w:sz w:val="23"/>
          <w:szCs w:val="23"/>
          <w:highlight w:val="none"/>
        </w:rPr>
        <w:t>总价。供应商在招标须知前附表规定的提交首次响</w:t>
      </w:r>
      <w:r>
        <w:rPr>
          <w:rFonts w:hint="eastAsia" w:ascii="仿宋" w:hAnsi="仿宋" w:eastAsia="仿宋" w:cs="仿宋"/>
          <w:b w:val="0"/>
          <w:bCs w:val="0"/>
          <w:color w:val="auto"/>
          <w:spacing w:val="7"/>
          <w:position w:val="18"/>
          <w:sz w:val="23"/>
          <w:szCs w:val="23"/>
          <w:highlight w:val="none"/>
        </w:rPr>
        <w:t>应文件截止之日前修改报价一览表中</w:t>
      </w:r>
    </w:p>
    <w:p w14:paraId="49BED626">
      <w:pPr>
        <w:spacing w:before="1" w:line="225" w:lineRule="auto"/>
        <w:ind w:left="587"/>
        <w:rPr>
          <w:rFonts w:hint="eastAsia" w:ascii="仿宋" w:hAnsi="仿宋" w:eastAsia="仿宋" w:cs="仿宋"/>
          <w:b w:val="0"/>
          <w:bCs w:val="0"/>
          <w:color w:val="auto"/>
          <w:sz w:val="23"/>
          <w:szCs w:val="23"/>
          <w:highlight w:val="none"/>
        </w:rPr>
      </w:pPr>
      <w:r>
        <w:rPr>
          <w:rFonts w:hint="eastAsia" w:ascii="仿宋" w:hAnsi="仿宋" w:eastAsia="仿宋" w:cs="仿宋"/>
          <w:b w:val="0"/>
          <w:bCs w:val="0"/>
          <w:color w:val="auto"/>
          <w:spacing w:val="7"/>
          <w:sz w:val="23"/>
          <w:szCs w:val="23"/>
          <w:highlight w:val="none"/>
        </w:rPr>
        <w:t>的报价的，应同时修改其分项价格表中的报价。（报价不得超</w:t>
      </w:r>
      <w:r>
        <w:rPr>
          <w:rFonts w:hint="eastAsia" w:ascii="仿宋" w:hAnsi="仿宋" w:eastAsia="仿宋" w:cs="仿宋"/>
          <w:b w:val="0"/>
          <w:bCs w:val="0"/>
          <w:color w:val="auto"/>
          <w:spacing w:val="7"/>
          <w:sz w:val="23"/>
          <w:szCs w:val="23"/>
          <w:highlight w:val="none"/>
          <w:lang w:val="en-US" w:eastAsia="zh-CN"/>
        </w:rPr>
        <w:t>最高</w:t>
      </w:r>
      <w:r>
        <w:rPr>
          <w:rFonts w:hint="eastAsia" w:ascii="仿宋" w:hAnsi="仿宋" w:eastAsia="仿宋" w:cs="仿宋"/>
          <w:b w:val="0"/>
          <w:bCs w:val="0"/>
          <w:color w:val="auto"/>
          <w:spacing w:val="7"/>
          <w:sz w:val="23"/>
          <w:szCs w:val="23"/>
          <w:highlight w:val="none"/>
        </w:rPr>
        <w:t>限价）</w:t>
      </w:r>
    </w:p>
    <w:p w14:paraId="63A3775F">
      <w:pPr>
        <w:spacing w:before="187" w:line="227" w:lineRule="auto"/>
        <w:ind w:left="57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（四）付款方式</w:t>
      </w:r>
    </w:p>
    <w:p w14:paraId="4E2BD0AF">
      <w:pPr>
        <w:spacing w:before="182" w:line="229" w:lineRule="auto"/>
        <w:ind w:left="558"/>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具体以甲乙双方签订合同为准</w:t>
      </w:r>
    </w:p>
    <w:p w14:paraId="48E15329">
      <w:pPr>
        <w:spacing w:before="183" w:line="227" w:lineRule="auto"/>
        <w:ind w:left="57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（五）知识产权</w:t>
      </w:r>
    </w:p>
    <w:p w14:paraId="158345D3">
      <w:pPr>
        <w:spacing w:before="182" w:line="227" w:lineRule="auto"/>
        <w:ind w:left="545"/>
        <w:outlineLvl w:val="1"/>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采购人在中华人民共和国境内使用投标人提供的服务成果时免受第三方提出的侵犯其</w:t>
      </w:r>
    </w:p>
    <w:p w14:paraId="5E78BB80">
      <w:pPr>
        <w:spacing w:before="167" w:line="482" w:lineRule="exact"/>
        <w:ind w:left="549"/>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专利权或其它知识产权的起诉。如果第三方提出侵权指控，中标人应承担由此而引起的</w:t>
      </w:r>
    </w:p>
    <w:p w14:paraId="00654DFE">
      <w:pPr>
        <w:spacing w:before="1" w:line="227" w:lineRule="auto"/>
        <w:ind w:left="554"/>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一切法律责任和费用。</w:t>
      </w:r>
    </w:p>
    <w:p w14:paraId="1B3EC610">
      <w:pPr>
        <w:spacing w:before="184" w:line="228" w:lineRule="auto"/>
        <w:ind w:left="572"/>
        <w:outlineLvl w:val="1"/>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（六）其他</w:t>
      </w:r>
    </w:p>
    <w:p w14:paraId="29D91434">
      <w:pPr>
        <w:spacing w:before="181" w:line="227" w:lineRule="auto"/>
        <w:ind w:left="58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 、投标人必须在投标文件中对以上条款和服务承诺明确列</w:t>
      </w:r>
      <w:r>
        <w:rPr>
          <w:rFonts w:hint="eastAsia" w:ascii="仿宋" w:hAnsi="仿宋" w:eastAsia="仿宋" w:cs="仿宋"/>
          <w:color w:val="auto"/>
          <w:spacing w:val="6"/>
          <w:sz w:val="23"/>
          <w:szCs w:val="23"/>
          <w:highlight w:val="none"/>
        </w:rPr>
        <w:t>出，承诺内容必须达到本篇</w:t>
      </w:r>
    </w:p>
    <w:p w14:paraId="0AA3BEF1">
      <w:pPr>
        <w:spacing w:before="184" w:line="227" w:lineRule="auto"/>
        <w:ind w:left="545"/>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及招标文件其他条款的要求。</w:t>
      </w:r>
    </w:p>
    <w:p w14:paraId="48653296">
      <w:pPr>
        <w:spacing w:before="182" w:line="227" w:lineRule="auto"/>
        <w:ind w:left="539"/>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w:t>
      </w:r>
      <w:r>
        <w:rPr>
          <w:rFonts w:hint="eastAsia" w:ascii="仿宋" w:hAnsi="仿宋" w:eastAsia="仿宋" w:cs="仿宋"/>
          <w:color w:val="auto"/>
          <w:spacing w:val="-7"/>
          <w:sz w:val="23"/>
          <w:szCs w:val="23"/>
          <w:highlight w:val="none"/>
        </w:rPr>
        <w:t xml:space="preserve"> </w:t>
      </w:r>
      <w:r>
        <w:rPr>
          <w:rFonts w:hint="eastAsia" w:ascii="仿宋" w:hAnsi="仿宋" w:eastAsia="仿宋" w:cs="仿宋"/>
          <w:color w:val="auto"/>
          <w:spacing w:val="6"/>
          <w:sz w:val="23"/>
          <w:szCs w:val="23"/>
          <w:highlight w:val="none"/>
        </w:rPr>
        <w:t>、其他未尽事宜由供需双方在采购合同中详细约定。</w:t>
      </w:r>
    </w:p>
    <w:p w14:paraId="39289C36">
      <w:pPr>
        <w:spacing w:before="313" w:line="227" w:lineRule="auto"/>
        <w:ind w:left="55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二、服务要求：</w:t>
      </w:r>
    </w:p>
    <w:p w14:paraId="7E39F76E">
      <w:pPr>
        <w:spacing w:before="113" w:line="227" w:lineRule="auto"/>
        <w:ind w:left="1028"/>
        <w:rPr>
          <w:rFonts w:hint="eastAsia" w:ascii="仿宋" w:hAnsi="仿宋" w:eastAsia="仿宋" w:cs="仿宋"/>
          <w:color w:val="auto"/>
          <w:sz w:val="23"/>
          <w:szCs w:val="23"/>
          <w:highlight w:val="none"/>
          <w:lang w:val="en-US" w:eastAsia="zh-CN"/>
        </w:rPr>
      </w:pPr>
      <w:r>
        <w:rPr>
          <w:rFonts w:hint="eastAsia" w:ascii="仿宋" w:hAnsi="仿宋" w:eastAsia="仿宋" w:cs="仿宋"/>
          <w:color w:val="auto"/>
          <w:spacing w:val="5"/>
          <w:sz w:val="23"/>
          <w:szCs w:val="23"/>
          <w:highlight w:val="none"/>
        </w:rPr>
        <w:t>服务标准</w:t>
      </w:r>
      <w:r>
        <w:rPr>
          <w:rFonts w:hint="eastAsia" w:ascii="仿宋" w:hAnsi="仿宋" w:eastAsia="仿宋" w:cs="仿宋"/>
          <w:color w:val="auto"/>
          <w:spacing w:val="5"/>
          <w:sz w:val="23"/>
          <w:szCs w:val="23"/>
          <w:highlight w:val="none"/>
          <w:lang w:eastAsia="zh-CN"/>
        </w:rPr>
        <w:t>：</w:t>
      </w:r>
      <w:r>
        <w:rPr>
          <w:rFonts w:hint="eastAsia" w:ascii="仿宋" w:hAnsi="仿宋" w:eastAsia="仿宋" w:cs="仿宋"/>
          <w:color w:val="auto"/>
          <w:spacing w:val="5"/>
          <w:sz w:val="23"/>
          <w:szCs w:val="23"/>
          <w:highlight w:val="none"/>
          <w:lang w:val="en-US" w:eastAsia="zh-CN"/>
        </w:rPr>
        <w:t>严格按照采购需求实施。</w:t>
      </w:r>
    </w:p>
    <w:p w14:paraId="0FC801F6">
      <w:pPr>
        <w:spacing w:before="175" w:line="227" w:lineRule="auto"/>
        <w:ind w:left="548"/>
        <w:outlineLvl w:val="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三、验收：</w:t>
      </w:r>
    </w:p>
    <w:p w14:paraId="639EBC0B">
      <w:pPr>
        <w:spacing w:before="175" w:line="227" w:lineRule="auto"/>
        <w:ind w:left="1064"/>
        <w:outlineLvl w:val="1"/>
        <w:rPr>
          <w:rFonts w:hint="eastAsia" w:ascii="仿宋" w:hAnsi="仿宋" w:eastAsia="仿宋" w:cs="仿宋"/>
          <w:color w:val="auto"/>
          <w:spacing w:val="6"/>
          <w:sz w:val="23"/>
          <w:szCs w:val="23"/>
          <w:highlight w:val="none"/>
          <w:lang w:val="en-US" w:eastAsia="zh-CN"/>
        </w:rPr>
      </w:pPr>
      <w:r>
        <w:rPr>
          <w:rFonts w:hint="eastAsia" w:ascii="仿宋" w:hAnsi="仿宋" w:eastAsia="仿宋" w:cs="仿宋"/>
          <w:color w:val="auto"/>
          <w:spacing w:val="6"/>
          <w:sz w:val="23"/>
          <w:szCs w:val="23"/>
          <w:highlight w:val="none"/>
        </w:rPr>
        <w:t>1</w:t>
      </w:r>
      <w:r>
        <w:rPr>
          <w:rFonts w:hint="eastAsia" w:ascii="仿宋" w:hAnsi="仿宋" w:eastAsia="仿宋" w:cs="仿宋"/>
          <w:color w:val="auto"/>
          <w:spacing w:val="-13"/>
          <w:sz w:val="23"/>
          <w:szCs w:val="23"/>
          <w:highlight w:val="none"/>
        </w:rPr>
        <w:t xml:space="preserve"> </w:t>
      </w:r>
      <w:r>
        <w:rPr>
          <w:rFonts w:hint="eastAsia" w:ascii="仿宋" w:hAnsi="仿宋" w:eastAsia="仿宋" w:cs="仿宋"/>
          <w:color w:val="auto"/>
          <w:spacing w:val="6"/>
          <w:sz w:val="23"/>
          <w:szCs w:val="23"/>
          <w:highlight w:val="none"/>
        </w:rPr>
        <w:t>、严格按照</w:t>
      </w:r>
      <w:r>
        <w:rPr>
          <w:rFonts w:hint="eastAsia" w:ascii="仿宋" w:hAnsi="仿宋" w:eastAsia="仿宋" w:cs="仿宋"/>
          <w:color w:val="auto"/>
          <w:spacing w:val="6"/>
          <w:sz w:val="23"/>
          <w:szCs w:val="23"/>
          <w:highlight w:val="none"/>
          <w:lang w:val="en-US" w:eastAsia="zh-CN"/>
        </w:rPr>
        <w:t>征集</w:t>
      </w:r>
      <w:r>
        <w:rPr>
          <w:rFonts w:hint="eastAsia" w:ascii="仿宋" w:hAnsi="仿宋" w:eastAsia="仿宋" w:cs="仿宋"/>
          <w:color w:val="auto"/>
          <w:spacing w:val="6"/>
          <w:sz w:val="23"/>
          <w:szCs w:val="23"/>
          <w:highlight w:val="none"/>
        </w:rPr>
        <w:t>文件要求和</w:t>
      </w:r>
      <w:r>
        <w:rPr>
          <w:rFonts w:hint="eastAsia" w:ascii="仿宋" w:hAnsi="仿宋" w:eastAsia="仿宋" w:cs="仿宋"/>
          <w:color w:val="auto"/>
          <w:spacing w:val="6"/>
          <w:sz w:val="23"/>
          <w:szCs w:val="23"/>
          <w:highlight w:val="none"/>
          <w:lang w:val="en-US" w:eastAsia="zh-CN"/>
        </w:rPr>
        <w:t>入围</w:t>
      </w:r>
      <w:r>
        <w:rPr>
          <w:rFonts w:hint="eastAsia" w:ascii="仿宋" w:hAnsi="仿宋" w:eastAsia="仿宋" w:cs="仿宋"/>
          <w:color w:val="auto"/>
          <w:spacing w:val="6"/>
          <w:sz w:val="23"/>
          <w:szCs w:val="23"/>
          <w:highlight w:val="none"/>
        </w:rPr>
        <w:t>供应商投标文件内容进行验</w:t>
      </w:r>
      <w:r>
        <w:rPr>
          <w:rFonts w:hint="eastAsia" w:ascii="仿宋" w:hAnsi="仿宋" w:eastAsia="仿宋" w:cs="仿宋"/>
          <w:color w:val="auto"/>
          <w:spacing w:val="6"/>
          <w:sz w:val="23"/>
          <w:szCs w:val="23"/>
          <w:highlight w:val="none"/>
          <w:lang w:val="en-US" w:eastAsia="zh-CN"/>
        </w:rPr>
        <w:t>收</w:t>
      </w:r>
    </w:p>
    <w:p w14:paraId="060AF105">
      <w:pPr>
        <w:spacing w:before="175" w:line="227" w:lineRule="auto"/>
        <w:ind w:left="1064"/>
        <w:outlineLvl w:val="1"/>
        <w:rPr>
          <w:rFonts w:hint="eastAsia" w:ascii="仿宋" w:hAnsi="仿宋" w:eastAsia="仿宋" w:cs="仿宋"/>
          <w:color w:val="auto"/>
          <w:spacing w:val="6"/>
          <w:sz w:val="23"/>
          <w:szCs w:val="23"/>
          <w:highlight w:val="none"/>
          <w:lang w:val="en-US" w:eastAsia="zh-CN"/>
        </w:rPr>
        <w:sectPr>
          <w:headerReference r:id="rId9" w:type="default"/>
          <w:footerReference r:id="rId10"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6"/>
          <w:sz w:val="23"/>
          <w:szCs w:val="23"/>
          <w:highlight w:val="none"/>
        </w:rPr>
        <w:t>2</w:t>
      </w:r>
      <w:r>
        <w:rPr>
          <w:rFonts w:hint="eastAsia" w:ascii="仿宋" w:hAnsi="仿宋" w:eastAsia="仿宋" w:cs="仿宋"/>
          <w:color w:val="auto"/>
          <w:spacing w:val="-7"/>
          <w:sz w:val="23"/>
          <w:szCs w:val="23"/>
          <w:highlight w:val="none"/>
        </w:rPr>
        <w:t xml:space="preserve"> </w:t>
      </w:r>
      <w:r>
        <w:rPr>
          <w:rFonts w:hint="eastAsia" w:ascii="仿宋" w:hAnsi="仿宋" w:eastAsia="仿宋" w:cs="仿宋"/>
          <w:color w:val="auto"/>
          <w:spacing w:val="6"/>
          <w:sz w:val="23"/>
          <w:szCs w:val="23"/>
          <w:highlight w:val="none"/>
        </w:rPr>
        <w:t>、严格按照政府采购相关法律法规的要求进行验收</w:t>
      </w:r>
    </w:p>
    <w:p w14:paraId="291F3DAD">
      <w:pPr>
        <w:pStyle w:val="4"/>
        <w:spacing w:line="308" w:lineRule="auto"/>
        <w:rPr>
          <w:rFonts w:hint="eastAsia" w:ascii="仿宋" w:hAnsi="仿宋" w:eastAsia="仿宋" w:cs="仿宋"/>
          <w:color w:val="auto"/>
          <w:highlight w:val="none"/>
        </w:rPr>
      </w:pPr>
    </w:p>
    <w:p w14:paraId="021F0DD1">
      <w:pPr>
        <w:spacing w:before="67" w:line="339" w:lineRule="exact"/>
        <w:ind w:firstLine="2726" w:firstLineChars="700"/>
        <w:outlineLvl w:val="1"/>
        <w:rPr>
          <w:rFonts w:hint="eastAsia" w:ascii="仿宋" w:hAnsi="仿宋" w:eastAsia="仿宋" w:cs="仿宋"/>
          <w:b/>
          <w:bCs/>
          <w:color w:val="auto"/>
          <w:spacing w:val="14"/>
          <w:position w:val="-2"/>
          <w:sz w:val="36"/>
          <w:szCs w:val="36"/>
          <w:highlight w:val="none"/>
        </w:rPr>
      </w:pPr>
      <w:r>
        <w:rPr>
          <w:rFonts w:hint="eastAsia" w:ascii="仿宋" w:hAnsi="仿宋" w:eastAsia="仿宋" w:cs="仿宋"/>
          <w:b/>
          <w:bCs/>
          <w:color w:val="auto"/>
          <w:spacing w:val="14"/>
          <w:position w:val="-2"/>
          <w:sz w:val="36"/>
          <w:szCs w:val="36"/>
          <w:highlight w:val="none"/>
        </w:rPr>
        <w:t>第</w:t>
      </w:r>
      <w:r>
        <w:rPr>
          <w:rFonts w:hint="eastAsia" w:ascii="仿宋" w:hAnsi="仿宋" w:eastAsia="仿宋" w:cs="仿宋"/>
          <w:b/>
          <w:bCs/>
          <w:color w:val="auto"/>
          <w:spacing w:val="14"/>
          <w:position w:val="-2"/>
          <w:sz w:val="36"/>
          <w:szCs w:val="36"/>
          <w:highlight w:val="none"/>
          <w:lang w:eastAsia="zh-CN"/>
        </w:rPr>
        <w:t>四</w:t>
      </w:r>
      <w:r>
        <w:rPr>
          <w:rFonts w:hint="eastAsia" w:ascii="仿宋" w:hAnsi="仿宋" w:eastAsia="仿宋" w:cs="仿宋"/>
          <w:b/>
          <w:bCs/>
          <w:color w:val="auto"/>
          <w:spacing w:val="14"/>
          <w:position w:val="-2"/>
          <w:sz w:val="36"/>
          <w:szCs w:val="36"/>
          <w:highlight w:val="none"/>
          <w:lang w:val="en-US" w:eastAsia="zh-CN"/>
        </w:rPr>
        <w:t>部分</w:t>
      </w:r>
      <w:r>
        <w:rPr>
          <w:rFonts w:hint="eastAsia" w:ascii="仿宋" w:hAnsi="仿宋" w:eastAsia="仿宋" w:cs="仿宋"/>
          <w:b/>
          <w:bCs/>
          <w:color w:val="auto"/>
          <w:spacing w:val="14"/>
          <w:position w:val="-2"/>
          <w:sz w:val="36"/>
          <w:szCs w:val="36"/>
          <w:highlight w:val="none"/>
        </w:rPr>
        <w:t xml:space="preserve"> 评审方法和标准</w:t>
      </w:r>
    </w:p>
    <w:p w14:paraId="7CB41B93">
      <w:pPr>
        <w:spacing w:before="218" w:line="461" w:lineRule="exact"/>
        <w:ind w:left="455"/>
        <w:rPr>
          <w:rFonts w:hint="eastAsia" w:ascii="仿宋" w:hAnsi="仿宋" w:eastAsia="仿宋" w:cs="仿宋"/>
          <w:color w:val="auto"/>
          <w:sz w:val="22"/>
          <w:szCs w:val="22"/>
          <w:highlight w:val="none"/>
        </w:rPr>
      </w:pPr>
      <w:r>
        <w:rPr>
          <w:rFonts w:hint="eastAsia" w:ascii="仿宋" w:hAnsi="仿宋" w:eastAsia="仿宋" w:cs="仿宋"/>
          <w:color w:val="auto"/>
          <w:spacing w:val="9"/>
          <w:position w:val="18"/>
          <w:sz w:val="22"/>
          <w:szCs w:val="22"/>
          <w:highlight w:val="none"/>
        </w:rPr>
        <w:t>评标委员会将按照本项目征集文件第1章及本章</w:t>
      </w:r>
      <w:r>
        <w:rPr>
          <w:rFonts w:hint="eastAsia" w:ascii="仿宋" w:hAnsi="仿宋" w:eastAsia="仿宋" w:cs="仿宋"/>
          <w:color w:val="auto"/>
          <w:spacing w:val="8"/>
          <w:position w:val="18"/>
          <w:sz w:val="22"/>
          <w:szCs w:val="22"/>
          <w:highlight w:val="none"/>
        </w:rPr>
        <w:t>的规定进行评审工作，征集人负责评审</w:t>
      </w:r>
    </w:p>
    <w:p w14:paraId="05118D9F">
      <w:pPr>
        <w:spacing w:before="1" w:line="220" w:lineRule="auto"/>
        <w:ind w:left="34"/>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的组织工作。工作程序如下：</w:t>
      </w:r>
    </w:p>
    <w:p w14:paraId="5D3A5DAD">
      <w:pPr>
        <w:spacing w:before="183" w:line="220" w:lineRule="auto"/>
        <w:ind w:left="5"/>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一、</w:t>
      </w:r>
      <w:r>
        <w:rPr>
          <w:rFonts w:hint="eastAsia" w:ascii="仿宋" w:hAnsi="仿宋" w:eastAsia="仿宋" w:cs="仿宋"/>
          <w:color w:val="auto"/>
          <w:spacing w:val="26"/>
          <w:sz w:val="22"/>
          <w:szCs w:val="22"/>
          <w:highlight w:val="none"/>
        </w:rPr>
        <w:t xml:space="preserve"> </w:t>
      </w:r>
      <w:r>
        <w:rPr>
          <w:rFonts w:hint="eastAsia" w:ascii="仿宋" w:hAnsi="仿宋" w:eastAsia="仿宋" w:cs="仿宋"/>
          <w:color w:val="auto"/>
          <w:sz w:val="22"/>
          <w:szCs w:val="22"/>
          <w:highlight w:val="none"/>
        </w:rPr>
        <w:t>评审准备工作，</w:t>
      </w:r>
      <w:r>
        <w:rPr>
          <w:rFonts w:hint="eastAsia" w:ascii="仿宋" w:hAnsi="仿宋" w:eastAsia="仿宋" w:cs="仿宋"/>
          <w:color w:val="auto"/>
          <w:spacing w:val="-20"/>
          <w:sz w:val="22"/>
          <w:szCs w:val="22"/>
          <w:highlight w:val="none"/>
        </w:rPr>
        <w:t xml:space="preserve"> </w:t>
      </w:r>
      <w:r>
        <w:rPr>
          <w:rFonts w:hint="eastAsia" w:ascii="仿宋" w:hAnsi="仿宋" w:eastAsia="仿宋" w:cs="仿宋"/>
          <w:color w:val="auto"/>
          <w:sz w:val="22"/>
          <w:szCs w:val="22"/>
          <w:highlight w:val="none"/>
        </w:rPr>
        <w:t>由征集人负责</w:t>
      </w:r>
    </w:p>
    <w:p w14:paraId="16D2D71B">
      <w:pPr>
        <w:spacing w:before="172" w:line="220" w:lineRule="auto"/>
        <w:ind w:left="513"/>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1、核对评审专家身份和征集人代表授权函；</w:t>
      </w:r>
    </w:p>
    <w:p w14:paraId="2F885646">
      <w:pPr>
        <w:spacing w:before="196" w:line="219" w:lineRule="auto"/>
        <w:ind w:left="482"/>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2、宣布评标纪律，集中保管通讯工具；</w:t>
      </w:r>
    </w:p>
    <w:p w14:paraId="05CA8D81">
      <w:pPr>
        <w:spacing w:before="173" w:line="460" w:lineRule="exact"/>
        <w:ind w:left="486"/>
        <w:rPr>
          <w:rFonts w:hint="eastAsia" w:ascii="仿宋" w:hAnsi="仿宋" w:eastAsia="仿宋" w:cs="仿宋"/>
          <w:color w:val="auto"/>
          <w:sz w:val="22"/>
          <w:szCs w:val="22"/>
          <w:highlight w:val="none"/>
        </w:rPr>
      </w:pPr>
      <w:r>
        <w:rPr>
          <w:rFonts w:hint="eastAsia" w:ascii="仿宋" w:hAnsi="仿宋" w:eastAsia="仿宋" w:cs="仿宋"/>
          <w:color w:val="auto"/>
          <w:spacing w:val="8"/>
          <w:position w:val="18"/>
          <w:sz w:val="22"/>
          <w:szCs w:val="22"/>
          <w:highlight w:val="none"/>
        </w:rPr>
        <w:t>3、公布供应商名单，告知评审专家应当回避</w:t>
      </w:r>
      <w:r>
        <w:rPr>
          <w:rFonts w:hint="eastAsia" w:ascii="仿宋" w:hAnsi="仿宋" w:eastAsia="仿宋" w:cs="仿宋"/>
          <w:color w:val="auto"/>
          <w:spacing w:val="7"/>
          <w:position w:val="18"/>
          <w:sz w:val="22"/>
          <w:szCs w:val="22"/>
          <w:highlight w:val="none"/>
        </w:rPr>
        <w:t>的情形；</w:t>
      </w:r>
    </w:p>
    <w:p w14:paraId="7C0B8E33">
      <w:pPr>
        <w:spacing w:before="1" w:line="219" w:lineRule="auto"/>
        <w:ind w:left="476"/>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4、组织评标委员会推选评标组长；</w:t>
      </w:r>
    </w:p>
    <w:p w14:paraId="6B7A492B">
      <w:pPr>
        <w:spacing w:before="187" w:line="220" w:lineRule="auto"/>
        <w:ind w:left="5"/>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二、符合性审查工作</w:t>
      </w:r>
    </w:p>
    <w:p w14:paraId="7BA17E48">
      <w:pPr>
        <w:spacing w:before="193" w:line="371" w:lineRule="auto"/>
        <w:ind w:left="129" w:firstLine="457"/>
        <w:jc w:val="both"/>
        <w:rPr>
          <w:rFonts w:hint="eastAsia" w:ascii="仿宋" w:hAnsi="仿宋" w:eastAsia="仿宋" w:cs="仿宋"/>
          <w:color w:val="auto"/>
          <w:sz w:val="22"/>
          <w:szCs w:val="22"/>
          <w:highlight w:val="none"/>
        </w:rPr>
      </w:pPr>
      <w:r>
        <w:rPr>
          <w:rFonts w:hint="eastAsia" w:ascii="仿宋" w:hAnsi="仿宋" w:eastAsia="仿宋" w:cs="仿宋"/>
          <w:color w:val="auto"/>
          <w:spacing w:val="12"/>
          <w:sz w:val="22"/>
          <w:szCs w:val="22"/>
          <w:highlight w:val="none"/>
        </w:rPr>
        <w:t>符合性审查是指依据征集文件的规定，从商务和技术角度对响应文件的有效性和完整</w:t>
      </w:r>
      <w:r>
        <w:rPr>
          <w:rFonts w:hint="eastAsia" w:ascii="仿宋" w:hAnsi="仿宋" w:eastAsia="仿宋" w:cs="仿宋"/>
          <w:color w:val="auto"/>
          <w:spacing w:val="11"/>
          <w:sz w:val="22"/>
          <w:szCs w:val="22"/>
          <w:highlight w:val="none"/>
        </w:rPr>
        <w:t>性进行审查，</w:t>
      </w:r>
      <w:r>
        <w:rPr>
          <w:rFonts w:hint="eastAsia" w:ascii="仿宋" w:hAnsi="仿宋" w:eastAsia="仿宋" w:cs="仿宋"/>
          <w:color w:val="auto"/>
          <w:spacing w:val="-36"/>
          <w:sz w:val="22"/>
          <w:szCs w:val="22"/>
          <w:highlight w:val="none"/>
        </w:rPr>
        <w:t xml:space="preserve"> </w:t>
      </w:r>
      <w:r>
        <w:rPr>
          <w:rFonts w:hint="eastAsia" w:ascii="仿宋" w:hAnsi="仿宋" w:eastAsia="仿宋" w:cs="仿宋"/>
          <w:color w:val="auto"/>
          <w:spacing w:val="11"/>
          <w:sz w:val="22"/>
          <w:szCs w:val="22"/>
          <w:highlight w:val="none"/>
        </w:rPr>
        <w:t>以确定是否对征集文件的实质性要求做出响应，填写“商务符合性审查表</w:t>
      </w:r>
      <w:r>
        <w:rPr>
          <w:rFonts w:hint="eastAsia" w:ascii="仿宋" w:hAnsi="仿宋" w:eastAsia="仿宋" w:cs="仿宋"/>
          <w:color w:val="auto"/>
          <w:spacing w:val="-41"/>
          <w:sz w:val="22"/>
          <w:szCs w:val="22"/>
          <w:highlight w:val="none"/>
        </w:rPr>
        <w:t xml:space="preserve"> </w:t>
      </w:r>
      <w:r>
        <w:rPr>
          <w:rFonts w:hint="eastAsia" w:ascii="仿宋" w:hAnsi="仿宋" w:eastAsia="仿宋" w:cs="仿宋"/>
          <w:color w:val="auto"/>
          <w:spacing w:val="11"/>
          <w:sz w:val="22"/>
          <w:szCs w:val="22"/>
          <w:highlight w:val="none"/>
        </w:rPr>
        <w:t>”</w:t>
      </w:r>
    </w:p>
    <w:p w14:paraId="6B0C3265">
      <w:pPr>
        <w:spacing w:line="220" w:lineRule="auto"/>
        <w:ind w:left="128"/>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和“技术符合性审查表</w:t>
      </w:r>
      <w:r>
        <w:rPr>
          <w:rFonts w:hint="eastAsia" w:ascii="仿宋" w:hAnsi="仿宋" w:eastAsia="仿宋" w:cs="仿宋"/>
          <w:color w:val="auto"/>
          <w:spacing w:val="-43"/>
          <w:sz w:val="22"/>
          <w:szCs w:val="22"/>
          <w:highlight w:val="none"/>
        </w:rPr>
        <w:t xml:space="preserve"> </w:t>
      </w:r>
      <w:r>
        <w:rPr>
          <w:rFonts w:hint="eastAsia" w:ascii="仿宋" w:hAnsi="仿宋" w:eastAsia="仿宋" w:cs="仿宋"/>
          <w:color w:val="auto"/>
          <w:spacing w:val="2"/>
          <w:sz w:val="22"/>
          <w:szCs w:val="22"/>
          <w:highlight w:val="none"/>
        </w:rPr>
        <w:t>”（如有）。</w:t>
      </w:r>
    </w:p>
    <w:p w14:paraId="606B601B">
      <w:pPr>
        <w:spacing w:before="172" w:line="459" w:lineRule="exact"/>
        <w:rPr>
          <w:rFonts w:hint="eastAsia" w:ascii="仿宋" w:hAnsi="仿宋" w:eastAsia="仿宋" w:cs="仿宋"/>
          <w:color w:val="auto"/>
          <w:sz w:val="22"/>
          <w:szCs w:val="22"/>
          <w:highlight w:val="none"/>
        </w:rPr>
      </w:pPr>
      <w:r>
        <w:rPr>
          <w:rFonts w:hint="eastAsia" w:ascii="仿宋" w:hAnsi="仿宋" w:eastAsia="仿宋" w:cs="仿宋"/>
          <w:color w:val="auto"/>
          <w:spacing w:val="9"/>
          <w:position w:val="18"/>
          <w:sz w:val="22"/>
          <w:szCs w:val="22"/>
          <w:highlight w:val="none"/>
        </w:rPr>
        <w:t>三、要求供应商对响应文件有关事项做出澄清或者说明（如有）</w:t>
      </w:r>
    </w:p>
    <w:p w14:paraId="4A2D00D6">
      <w:pPr>
        <w:spacing w:before="1" w:line="218" w:lineRule="auto"/>
        <w:ind w:left="39"/>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四、对响应文件进行比较和评价</w:t>
      </w:r>
    </w:p>
    <w:p w14:paraId="60FECA38">
      <w:pPr>
        <w:spacing w:before="194" w:line="371" w:lineRule="auto"/>
        <w:ind w:left="34" w:right="232" w:firstLine="454"/>
        <w:jc w:val="both"/>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1、如本项目评审方法为价格优先法，对满足采购需求且响应报价不超</w:t>
      </w:r>
      <w:r>
        <w:rPr>
          <w:rFonts w:hint="eastAsia" w:ascii="仿宋" w:hAnsi="仿宋" w:eastAsia="仿宋" w:cs="仿宋"/>
          <w:color w:val="auto"/>
          <w:spacing w:val="5"/>
          <w:sz w:val="22"/>
          <w:szCs w:val="22"/>
          <w:highlight w:val="none"/>
        </w:rPr>
        <w:t>过最高限制单价</w:t>
      </w:r>
      <w:r>
        <w:rPr>
          <w:rFonts w:hint="eastAsia" w:ascii="仿宋" w:hAnsi="仿宋" w:eastAsia="仿宋" w:cs="仿宋"/>
          <w:color w:val="auto"/>
          <w:spacing w:val="11"/>
          <w:sz w:val="22"/>
          <w:szCs w:val="22"/>
          <w:highlight w:val="none"/>
        </w:rPr>
        <w:t>的货物、服务，按照响应报价从低到高排序，根据征集文件规定的淘汰率或者入围</w:t>
      </w:r>
      <w:r>
        <w:rPr>
          <w:rFonts w:hint="eastAsia" w:ascii="仿宋" w:hAnsi="仿宋" w:eastAsia="仿宋" w:cs="仿宋"/>
          <w:color w:val="auto"/>
          <w:spacing w:val="10"/>
          <w:sz w:val="22"/>
          <w:szCs w:val="22"/>
          <w:highlight w:val="none"/>
        </w:rPr>
        <w:t>供应商</w:t>
      </w:r>
    </w:p>
    <w:p w14:paraId="44EA39D2">
      <w:pPr>
        <w:spacing w:line="219" w:lineRule="auto"/>
        <w:ind w:left="1"/>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数量上限，确定入围供应商。</w:t>
      </w:r>
    </w:p>
    <w:p w14:paraId="141124DE">
      <w:pPr>
        <w:spacing w:before="173" w:line="459" w:lineRule="exact"/>
        <w:ind w:left="610"/>
        <w:rPr>
          <w:rFonts w:hint="eastAsia" w:ascii="仿宋" w:hAnsi="仿宋" w:eastAsia="仿宋" w:cs="仿宋"/>
          <w:color w:val="auto"/>
          <w:sz w:val="22"/>
          <w:szCs w:val="22"/>
          <w:highlight w:val="none"/>
        </w:rPr>
      </w:pPr>
      <w:r>
        <w:rPr>
          <w:rFonts w:hint="eastAsia" w:ascii="仿宋" w:hAnsi="仿宋" w:eastAsia="仿宋" w:cs="仿宋"/>
          <w:color w:val="auto"/>
          <w:spacing w:val="8"/>
          <w:position w:val="18"/>
          <w:sz w:val="22"/>
          <w:szCs w:val="22"/>
          <w:highlight w:val="none"/>
        </w:rPr>
        <w:t>除了算术修正和落实政府采购政策需进行的价格扣除外，不得对供应商的投标价格进</w:t>
      </w:r>
    </w:p>
    <w:p w14:paraId="6FFABDF3">
      <w:pPr>
        <w:spacing w:line="220" w:lineRule="auto"/>
        <w:ind w:left="133"/>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行任何调整。</w:t>
      </w:r>
    </w:p>
    <w:p w14:paraId="352267DD">
      <w:pPr>
        <w:spacing w:before="197" w:line="369" w:lineRule="auto"/>
        <w:ind w:left="34" w:right="232" w:firstLine="426"/>
        <w:jc w:val="both"/>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2、如本项目评审方法为质量优先法，对满足采购需求且响应报价不超过最高限制</w:t>
      </w:r>
      <w:r>
        <w:rPr>
          <w:rFonts w:hint="eastAsia" w:ascii="仿宋" w:hAnsi="仿宋" w:eastAsia="仿宋" w:cs="仿宋"/>
          <w:color w:val="auto"/>
          <w:spacing w:val="6"/>
          <w:sz w:val="22"/>
          <w:szCs w:val="22"/>
          <w:highlight w:val="none"/>
        </w:rPr>
        <w:t>单价</w:t>
      </w:r>
      <w:r>
        <w:rPr>
          <w:rFonts w:hint="eastAsia" w:ascii="仿宋" w:hAnsi="仿宋" w:eastAsia="仿宋" w:cs="仿宋"/>
          <w:color w:val="auto"/>
          <w:spacing w:val="11"/>
          <w:sz w:val="22"/>
          <w:szCs w:val="22"/>
          <w:highlight w:val="none"/>
        </w:rPr>
        <w:t>的货物、服务进行质量综合评分，按照质量评分从高到低排序，根据征集文件规定</w:t>
      </w:r>
      <w:r>
        <w:rPr>
          <w:rFonts w:hint="eastAsia" w:ascii="仿宋" w:hAnsi="仿宋" w:eastAsia="仿宋" w:cs="仿宋"/>
          <w:color w:val="auto"/>
          <w:spacing w:val="10"/>
          <w:sz w:val="22"/>
          <w:szCs w:val="22"/>
          <w:highlight w:val="none"/>
        </w:rPr>
        <w:t>的淘汰</w:t>
      </w:r>
    </w:p>
    <w:p w14:paraId="35CD9D98">
      <w:pPr>
        <w:spacing w:before="1" w:line="219" w:lineRule="auto"/>
        <w:ind w:left="1"/>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率或者入围供应商数量上限，确定入围供应商。</w:t>
      </w:r>
    </w:p>
    <w:p w14:paraId="38D419E8">
      <w:pPr>
        <w:spacing w:before="198" w:line="370" w:lineRule="auto"/>
        <w:ind w:left="124" w:right="234" w:firstLine="457"/>
        <w:jc w:val="both"/>
        <w:rPr>
          <w:rFonts w:hint="eastAsia" w:ascii="仿宋" w:hAnsi="仿宋" w:eastAsia="仿宋" w:cs="仿宋"/>
          <w:color w:val="auto"/>
          <w:sz w:val="22"/>
          <w:szCs w:val="22"/>
          <w:highlight w:val="none"/>
        </w:rPr>
      </w:pPr>
      <w:r>
        <w:rPr>
          <w:rFonts w:hint="eastAsia" w:ascii="仿宋" w:hAnsi="仿宋" w:eastAsia="仿宋" w:cs="仿宋"/>
          <w:color w:val="auto"/>
          <w:spacing w:val="9"/>
          <w:sz w:val="22"/>
          <w:szCs w:val="22"/>
          <w:highlight w:val="none"/>
        </w:rPr>
        <w:t>评标委员会每位成员独立对每个有效供应商的响应文件进行评价、打</w:t>
      </w:r>
      <w:r>
        <w:rPr>
          <w:rFonts w:hint="eastAsia" w:ascii="仿宋" w:hAnsi="仿宋" w:eastAsia="仿宋" w:cs="仿宋"/>
          <w:color w:val="auto"/>
          <w:spacing w:val="8"/>
          <w:sz w:val="22"/>
          <w:szCs w:val="22"/>
          <w:highlight w:val="none"/>
        </w:rPr>
        <w:t>分；然后汇总每</w:t>
      </w:r>
      <w:r>
        <w:rPr>
          <w:rFonts w:hint="eastAsia" w:ascii="仿宋" w:hAnsi="仿宋" w:eastAsia="仿宋" w:cs="仿宋"/>
          <w:color w:val="auto"/>
          <w:spacing w:val="7"/>
          <w:sz w:val="22"/>
          <w:szCs w:val="22"/>
          <w:highlight w:val="none"/>
        </w:rPr>
        <w:t>个供应商的得分，计算得分平均值，</w:t>
      </w:r>
      <w:r>
        <w:rPr>
          <w:rFonts w:hint="eastAsia" w:ascii="仿宋" w:hAnsi="仿宋" w:eastAsia="仿宋" w:cs="仿宋"/>
          <w:color w:val="auto"/>
          <w:spacing w:val="-47"/>
          <w:sz w:val="22"/>
          <w:szCs w:val="22"/>
          <w:highlight w:val="none"/>
        </w:rPr>
        <w:t xml:space="preserve"> </w:t>
      </w:r>
      <w:r>
        <w:rPr>
          <w:rFonts w:hint="eastAsia" w:ascii="仿宋" w:hAnsi="仿宋" w:eastAsia="仿宋" w:cs="仿宋"/>
          <w:color w:val="auto"/>
          <w:spacing w:val="7"/>
          <w:sz w:val="22"/>
          <w:szCs w:val="22"/>
          <w:highlight w:val="none"/>
        </w:rPr>
        <w:t>以平均值由高到低进行排序，按排序顺序推荐入围供</w:t>
      </w:r>
    </w:p>
    <w:p w14:paraId="26A712FA">
      <w:pPr>
        <w:spacing w:line="220" w:lineRule="auto"/>
        <w:ind w:left="124"/>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应商。分值计算保留小数点后一位，第二位四舍五</w:t>
      </w:r>
      <w:r>
        <w:rPr>
          <w:rFonts w:hint="eastAsia" w:ascii="仿宋" w:hAnsi="仿宋" w:eastAsia="仿宋" w:cs="仿宋"/>
          <w:color w:val="auto"/>
          <w:spacing w:val="7"/>
          <w:sz w:val="22"/>
          <w:szCs w:val="22"/>
          <w:highlight w:val="none"/>
        </w:rPr>
        <w:t>入。</w:t>
      </w:r>
    </w:p>
    <w:p w14:paraId="1D3F5688">
      <w:pPr>
        <w:spacing w:before="163" w:line="470" w:lineRule="exact"/>
        <w:ind w:left="5"/>
        <w:rPr>
          <w:rFonts w:hint="eastAsia" w:ascii="仿宋" w:hAnsi="仿宋" w:eastAsia="仿宋" w:cs="仿宋"/>
          <w:color w:val="auto"/>
          <w:sz w:val="22"/>
          <w:szCs w:val="22"/>
          <w:highlight w:val="none"/>
        </w:rPr>
      </w:pPr>
      <w:r>
        <w:rPr>
          <w:rFonts w:hint="eastAsia" w:ascii="仿宋" w:hAnsi="仿宋" w:eastAsia="仿宋" w:cs="仿宋"/>
          <w:color w:val="auto"/>
          <w:spacing w:val="6"/>
          <w:position w:val="19"/>
          <w:sz w:val="22"/>
          <w:szCs w:val="22"/>
          <w:highlight w:val="none"/>
        </w:rPr>
        <w:t>五、或者根据征集人委托直接确定入围供应商。</w:t>
      </w:r>
    </w:p>
    <w:p w14:paraId="04B0B125">
      <w:pPr>
        <w:spacing w:line="220" w:lineRule="auto"/>
        <w:ind w:left="1"/>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六、征集人核对评审结果。</w:t>
      </w:r>
    </w:p>
    <w:p w14:paraId="2AAA511A">
      <w:pPr>
        <w:spacing w:before="182" w:line="219" w:lineRule="auto"/>
        <w:ind w:left="582"/>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评审标准中应考虑下列因素：</w:t>
      </w:r>
    </w:p>
    <w:p w14:paraId="1A73C979">
      <w:pPr>
        <w:spacing w:before="186" w:line="219" w:lineRule="auto"/>
        <w:ind w:left="616"/>
        <w:rPr>
          <w:rFonts w:hint="eastAsia" w:ascii="仿宋" w:hAnsi="仿宋" w:eastAsia="仿宋" w:cs="仿宋"/>
          <w:color w:val="auto"/>
          <w:sz w:val="22"/>
          <w:szCs w:val="22"/>
          <w:highlight w:val="none"/>
        </w:rPr>
      </w:pPr>
      <w:r>
        <w:rPr>
          <w:rFonts w:hint="eastAsia" w:ascii="仿宋" w:hAnsi="仿宋" w:eastAsia="仿宋" w:cs="仿宋"/>
          <w:color w:val="auto"/>
          <w:spacing w:val="3"/>
          <w:sz w:val="22"/>
          <w:szCs w:val="22"/>
          <w:highlight w:val="none"/>
        </w:rPr>
        <w:t>1.其他政府采购政策要求</w:t>
      </w:r>
      <w:r>
        <w:rPr>
          <w:rFonts w:hint="eastAsia" w:ascii="仿宋" w:hAnsi="仿宋" w:eastAsia="仿宋" w:cs="仿宋"/>
          <w:color w:val="auto"/>
          <w:spacing w:val="3"/>
          <w:sz w:val="22"/>
          <w:szCs w:val="22"/>
          <w:highlight w:val="none"/>
          <w:u w:val="single" w:color="auto"/>
        </w:rPr>
        <w:t>：</w:t>
      </w:r>
      <w:r>
        <w:rPr>
          <w:rFonts w:hint="eastAsia" w:ascii="仿宋" w:hAnsi="仿宋" w:eastAsia="仿宋" w:cs="仿宋"/>
          <w:color w:val="auto"/>
          <w:spacing w:val="10"/>
          <w:sz w:val="22"/>
          <w:szCs w:val="22"/>
          <w:highlight w:val="none"/>
          <w:u w:val="single" w:color="auto"/>
        </w:rPr>
        <w:t xml:space="preserve">     </w:t>
      </w:r>
      <w:r>
        <w:rPr>
          <w:rFonts w:hint="eastAsia" w:ascii="仿宋" w:hAnsi="仿宋" w:eastAsia="仿宋" w:cs="仿宋"/>
          <w:color w:val="auto"/>
          <w:spacing w:val="3"/>
          <w:sz w:val="22"/>
          <w:szCs w:val="22"/>
          <w:highlight w:val="none"/>
          <w:u w:val="single" w:color="auto"/>
        </w:rPr>
        <w:t xml:space="preserve">/      </w:t>
      </w:r>
      <w:r>
        <w:rPr>
          <w:rFonts w:hint="eastAsia" w:ascii="仿宋" w:hAnsi="仿宋" w:eastAsia="仿宋" w:cs="仿宋"/>
          <w:color w:val="auto"/>
          <w:spacing w:val="3"/>
          <w:sz w:val="22"/>
          <w:szCs w:val="22"/>
          <w:highlight w:val="none"/>
        </w:rPr>
        <w:t>。</w:t>
      </w:r>
    </w:p>
    <w:p w14:paraId="5F023BA7">
      <w:pPr>
        <w:spacing w:before="188" w:line="219" w:lineRule="auto"/>
        <w:ind w:left="590"/>
        <w:rPr>
          <w:rFonts w:hint="eastAsia" w:ascii="仿宋" w:hAnsi="仿宋" w:eastAsia="仿宋" w:cs="仿宋"/>
          <w:color w:val="auto"/>
          <w:sz w:val="22"/>
          <w:szCs w:val="22"/>
          <w:highlight w:val="none"/>
        </w:rPr>
        <w:sectPr>
          <w:footerReference r:id="rId11"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4"/>
          <w:sz w:val="22"/>
          <w:szCs w:val="22"/>
          <w:highlight w:val="none"/>
        </w:rPr>
        <w:t>2.入围供应商并列时的处理方式：</w:t>
      </w:r>
      <w:r>
        <w:rPr>
          <w:rFonts w:hint="eastAsia" w:ascii="仿宋" w:hAnsi="仿宋" w:eastAsia="仿宋" w:cs="仿宋"/>
          <w:color w:val="auto"/>
          <w:spacing w:val="-42"/>
          <w:sz w:val="22"/>
          <w:szCs w:val="22"/>
          <w:highlight w:val="none"/>
        </w:rPr>
        <w:t xml:space="preserve"> </w:t>
      </w:r>
      <w:r>
        <w:rPr>
          <w:rFonts w:hint="eastAsia" w:ascii="仿宋" w:hAnsi="仿宋" w:eastAsia="仿宋" w:cs="仿宋"/>
          <w:color w:val="auto"/>
          <w:spacing w:val="-74"/>
          <w:sz w:val="22"/>
          <w:szCs w:val="22"/>
          <w:highlight w:val="none"/>
          <w:u w:val="single" w:color="auto"/>
        </w:rPr>
        <w:t xml:space="preserve"> </w:t>
      </w:r>
      <w:r>
        <w:rPr>
          <w:rFonts w:hint="eastAsia" w:ascii="仿宋" w:hAnsi="仿宋" w:eastAsia="仿宋" w:cs="仿宋"/>
          <w:color w:val="auto"/>
          <w:spacing w:val="4"/>
          <w:sz w:val="22"/>
          <w:szCs w:val="22"/>
          <w:highlight w:val="none"/>
          <w:u w:val="single" w:color="auto"/>
        </w:rPr>
        <w:t>由评标委员会直接选定</w:t>
      </w:r>
      <w:r>
        <w:rPr>
          <w:rFonts w:hint="eastAsia" w:ascii="仿宋" w:hAnsi="仿宋" w:eastAsia="仿宋" w:cs="仿宋"/>
          <w:color w:val="auto"/>
          <w:spacing w:val="4"/>
          <w:sz w:val="22"/>
          <w:szCs w:val="22"/>
          <w:highlight w:val="none"/>
        </w:rPr>
        <w:t>。</w:t>
      </w:r>
    </w:p>
    <w:p w14:paraId="139A3461">
      <w:pPr>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pacing w:val="-7"/>
          <w:sz w:val="28"/>
          <w:szCs w:val="28"/>
          <w:highlight w:val="none"/>
        </w:rPr>
        <w:t>资格审查表</w:t>
      </w:r>
    </w:p>
    <w:p w14:paraId="3A583C8D">
      <w:pPr>
        <w:spacing w:line="111" w:lineRule="exact"/>
        <w:rPr>
          <w:rFonts w:hint="eastAsia" w:ascii="仿宋" w:hAnsi="仿宋" w:eastAsia="仿宋" w:cs="仿宋"/>
          <w:color w:val="auto"/>
          <w:sz w:val="24"/>
          <w:szCs w:val="24"/>
          <w:highlight w:val="none"/>
        </w:rPr>
      </w:pPr>
    </w:p>
    <w:tbl>
      <w:tblPr>
        <w:tblStyle w:val="16"/>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490"/>
        <w:gridCol w:w="6936"/>
        <w:gridCol w:w="571"/>
        <w:gridCol w:w="674"/>
      </w:tblGrid>
      <w:tr w14:paraId="2796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08" w:type="dxa"/>
            <w:vMerge w:val="restart"/>
            <w:vAlign w:val="center"/>
          </w:tcPr>
          <w:p w14:paraId="6366FC5D">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426" w:type="dxa"/>
            <w:gridSpan w:val="2"/>
            <w:vMerge w:val="restart"/>
            <w:vAlign w:val="center"/>
          </w:tcPr>
          <w:p w14:paraId="2CFD4437">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245" w:type="dxa"/>
            <w:gridSpan w:val="2"/>
            <w:vAlign w:val="center"/>
          </w:tcPr>
          <w:p w14:paraId="4793DAFC">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14:paraId="0743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08" w:type="dxa"/>
            <w:vMerge w:val="continue"/>
            <w:vAlign w:val="center"/>
          </w:tcPr>
          <w:p w14:paraId="76027BDA">
            <w:pPr>
              <w:spacing w:line="360" w:lineRule="auto"/>
              <w:rPr>
                <w:rFonts w:hint="eastAsia" w:ascii="仿宋" w:hAnsi="仿宋" w:eastAsia="仿宋" w:cs="仿宋"/>
                <w:color w:val="auto"/>
                <w:sz w:val="24"/>
                <w:szCs w:val="24"/>
                <w:highlight w:val="none"/>
              </w:rPr>
            </w:pPr>
          </w:p>
        </w:tc>
        <w:tc>
          <w:tcPr>
            <w:tcW w:w="7426" w:type="dxa"/>
            <w:gridSpan w:val="2"/>
            <w:vMerge w:val="continue"/>
          </w:tcPr>
          <w:p w14:paraId="1AE9A24A">
            <w:pPr>
              <w:spacing w:line="360" w:lineRule="auto"/>
              <w:rPr>
                <w:rFonts w:hint="eastAsia" w:ascii="仿宋" w:hAnsi="仿宋" w:eastAsia="仿宋" w:cs="仿宋"/>
                <w:color w:val="auto"/>
                <w:sz w:val="24"/>
                <w:szCs w:val="24"/>
                <w:highlight w:val="none"/>
              </w:rPr>
            </w:pPr>
          </w:p>
        </w:tc>
        <w:tc>
          <w:tcPr>
            <w:tcW w:w="571" w:type="dxa"/>
            <w:vAlign w:val="center"/>
          </w:tcPr>
          <w:p w14:paraId="30A41D9D">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674" w:type="dxa"/>
            <w:vAlign w:val="center"/>
          </w:tcPr>
          <w:p w14:paraId="63C9AAC0">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14:paraId="06E6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908" w:type="dxa"/>
            <w:vMerge w:val="continue"/>
            <w:vAlign w:val="center"/>
          </w:tcPr>
          <w:p w14:paraId="7697C3B1">
            <w:pPr>
              <w:spacing w:line="360" w:lineRule="auto"/>
              <w:jc w:val="center"/>
              <w:rPr>
                <w:rFonts w:hint="eastAsia" w:ascii="仿宋" w:hAnsi="仿宋" w:eastAsia="仿宋" w:cs="仿宋"/>
                <w:color w:val="auto"/>
                <w:sz w:val="24"/>
                <w:szCs w:val="24"/>
                <w:highlight w:val="none"/>
              </w:rPr>
            </w:pPr>
          </w:p>
        </w:tc>
        <w:tc>
          <w:tcPr>
            <w:tcW w:w="490" w:type="dxa"/>
            <w:vAlign w:val="center"/>
          </w:tcPr>
          <w:p w14:paraId="22A38675">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p>
        </w:tc>
        <w:tc>
          <w:tcPr>
            <w:tcW w:w="6936" w:type="dxa"/>
            <w:vAlign w:val="center"/>
          </w:tcPr>
          <w:p w14:paraId="7576EA0B">
            <w:pPr>
              <w:widowControl/>
              <w:spacing w:line="360" w:lineRule="auto"/>
              <w:jc w:val="left"/>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具备三证合一营业执照副本</w:t>
            </w:r>
          </w:p>
        </w:tc>
        <w:tc>
          <w:tcPr>
            <w:tcW w:w="571" w:type="dxa"/>
          </w:tcPr>
          <w:p w14:paraId="1837B566">
            <w:pPr>
              <w:spacing w:line="360" w:lineRule="auto"/>
              <w:rPr>
                <w:rFonts w:hint="eastAsia" w:ascii="仿宋" w:hAnsi="仿宋" w:eastAsia="仿宋" w:cs="仿宋"/>
                <w:color w:val="auto"/>
                <w:sz w:val="24"/>
                <w:szCs w:val="24"/>
                <w:highlight w:val="none"/>
              </w:rPr>
            </w:pPr>
          </w:p>
        </w:tc>
        <w:tc>
          <w:tcPr>
            <w:tcW w:w="674" w:type="dxa"/>
          </w:tcPr>
          <w:p w14:paraId="23367A2B">
            <w:pPr>
              <w:spacing w:line="360" w:lineRule="auto"/>
              <w:rPr>
                <w:rFonts w:hint="eastAsia" w:ascii="仿宋" w:hAnsi="仿宋" w:eastAsia="仿宋" w:cs="仿宋"/>
                <w:color w:val="auto"/>
                <w:sz w:val="24"/>
                <w:szCs w:val="24"/>
                <w:highlight w:val="none"/>
              </w:rPr>
            </w:pPr>
          </w:p>
        </w:tc>
      </w:tr>
      <w:tr w14:paraId="18CC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08" w:type="dxa"/>
            <w:vMerge w:val="continue"/>
            <w:vAlign w:val="center"/>
          </w:tcPr>
          <w:p w14:paraId="5405AF04">
            <w:pPr>
              <w:spacing w:line="360" w:lineRule="auto"/>
              <w:rPr>
                <w:rFonts w:hint="eastAsia" w:ascii="仿宋" w:hAnsi="仿宋" w:eastAsia="仿宋" w:cs="仿宋"/>
                <w:color w:val="auto"/>
                <w:sz w:val="24"/>
                <w:szCs w:val="24"/>
                <w:highlight w:val="none"/>
              </w:rPr>
            </w:pPr>
          </w:p>
        </w:tc>
        <w:tc>
          <w:tcPr>
            <w:tcW w:w="490" w:type="dxa"/>
            <w:vAlign w:val="center"/>
          </w:tcPr>
          <w:p w14:paraId="5394D4F7">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6936" w:type="dxa"/>
            <w:shd w:val="clear" w:color="auto" w:fill="auto"/>
            <w:vAlign w:val="center"/>
          </w:tcPr>
          <w:p w14:paraId="5E070EE9">
            <w:pPr>
              <w:widowControl/>
              <w:spacing w:line="360" w:lineRule="auto"/>
              <w:jc w:val="left"/>
              <w:textAlignment w:val="center"/>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法定代表人投标需提供法定代表人资格证明书，委托代理人投标需提供法定代表人授权委托书</w:t>
            </w:r>
          </w:p>
        </w:tc>
        <w:tc>
          <w:tcPr>
            <w:tcW w:w="571" w:type="dxa"/>
          </w:tcPr>
          <w:p w14:paraId="65BB2281">
            <w:pPr>
              <w:spacing w:line="360" w:lineRule="auto"/>
              <w:rPr>
                <w:rFonts w:hint="eastAsia" w:ascii="仿宋" w:hAnsi="仿宋" w:eastAsia="仿宋" w:cs="仿宋"/>
                <w:color w:val="auto"/>
                <w:sz w:val="24"/>
                <w:szCs w:val="24"/>
                <w:highlight w:val="none"/>
              </w:rPr>
            </w:pPr>
          </w:p>
        </w:tc>
        <w:tc>
          <w:tcPr>
            <w:tcW w:w="674" w:type="dxa"/>
          </w:tcPr>
          <w:p w14:paraId="43B5230D">
            <w:pPr>
              <w:spacing w:line="360" w:lineRule="auto"/>
              <w:rPr>
                <w:rFonts w:hint="eastAsia" w:ascii="仿宋" w:hAnsi="仿宋" w:eastAsia="仿宋" w:cs="仿宋"/>
                <w:color w:val="auto"/>
                <w:sz w:val="24"/>
                <w:szCs w:val="24"/>
                <w:highlight w:val="none"/>
              </w:rPr>
            </w:pPr>
          </w:p>
        </w:tc>
      </w:tr>
      <w:tr w14:paraId="047D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08" w:type="dxa"/>
            <w:vMerge w:val="continue"/>
            <w:vAlign w:val="center"/>
          </w:tcPr>
          <w:p w14:paraId="755C8C54">
            <w:pPr>
              <w:spacing w:line="360" w:lineRule="auto"/>
              <w:rPr>
                <w:rFonts w:hint="eastAsia" w:ascii="仿宋" w:hAnsi="仿宋" w:eastAsia="仿宋" w:cs="仿宋"/>
                <w:color w:val="auto"/>
                <w:sz w:val="24"/>
                <w:szCs w:val="24"/>
                <w:highlight w:val="none"/>
              </w:rPr>
            </w:pPr>
          </w:p>
        </w:tc>
        <w:tc>
          <w:tcPr>
            <w:tcW w:w="490" w:type="dxa"/>
            <w:vAlign w:val="center"/>
          </w:tcPr>
          <w:p w14:paraId="12958E62">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p>
        </w:tc>
        <w:tc>
          <w:tcPr>
            <w:tcW w:w="6936" w:type="dxa"/>
            <w:shd w:val="clear" w:color="auto" w:fill="auto"/>
            <w:vAlign w:val="center"/>
          </w:tcPr>
          <w:p w14:paraId="2B44A8A8">
            <w:pPr>
              <w:widowControl/>
              <w:spacing w:line="360" w:lineRule="auto"/>
              <w:jc w:val="left"/>
              <w:textAlignment w:val="center"/>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投标企业须提供投标人（被授权在职人员）近6个月内任意一个月有效的社保证明</w:t>
            </w:r>
          </w:p>
        </w:tc>
        <w:tc>
          <w:tcPr>
            <w:tcW w:w="571" w:type="dxa"/>
          </w:tcPr>
          <w:p w14:paraId="3930E8FC">
            <w:pPr>
              <w:spacing w:line="360" w:lineRule="auto"/>
              <w:rPr>
                <w:rFonts w:hint="eastAsia" w:ascii="仿宋" w:hAnsi="仿宋" w:eastAsia="仿宋" w:cs="仿宋"/>
                <w:color w:val="auto"/>
                <w:sz w:val="24"/>
                <w:szCs w:val="24"/>
                <w:highlight w:val="none"/>
              </w:rPr>
            </w:pPr>
          </w:p>
        </w:tc>
        <w:tc>
          <w:tcPr>
            <w:tcW w:w="674" w:type="dxa"/>
          </w:tcPr>
          <w:p w14:paraId="399468E5">
            <w:pPr>
              <w:spacing w:line="360" w:lineRule="auto"/>
              <w:rPr>
                <w:rFonts w:hint="eastAsia" w:ascii="仿宋" w:hAnsi="仿宋" w:eastAsia="仿宋" w:cs="仿宋"/>
                <w:color w:val="auto"/>
                <w:sz w:val="24"/>
                <w:szCs w:val="24"/>
                <w:highlight w:val="none"/>
              </w:rPr>
            </w:pPr>
          </w:p>
        </w:tc>
      </w:tr>
      <w:tr w14:paraId="31C2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08" w:type="dxa"/>
            <w:vMerge w:val="continue"/>
            <w:vAlign w:val="center"/>
          </w:tcPr>
          <w:p w14:paraId="518468BF">
            <w:pPr>
              <w:spacing w:line="360" w:lineRule="auto"/>
              <w:rPr>
                <w:rFonts w:hint="eastAsia" w:ascii="仿宋" w:hAnsi="仿宋" w:eastAsia="仿宋" w:cs="仿宋"/>
                <w:color w:val="auto"/>
                <w:sz w:val="24"/>
                <w:szCs w:val="24"/>
                <w:highlight w:val="none"/>
              </w:rPr>
            </w:pPr>
          </w:p>
        </w:tc>
        <w:tc>
          <w:tcPr>
            <w:tcW w:w="490" w:type="dxa"/>
            <w:vAlign w:val="center"/>
          </w:tcPr>
          <w:p w14:paraId="5816357F">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p>
        </w:tc>
        <w:tc>
          <w:tcPr>
            <w:tcW w:w="6936" w:type="dxa"/>
            <w:shd w:val="clear" w:color="auto" w:fill="auto"/>
            <w:vAlign w:val="center"/>
          </w:tcPr>
          <w:p w14:paraId="3177EBB2">
            <w:pPr>
              <w:widowControl/>
              <w:spacing w:line="360" w:lineRule="auto"/>
              <w:jc w:val="left"/>
              <w:textAlignment w:val="center"/>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未被“信用中国”（www.creditchina.gov.cn）、中国政府采购网（www.ccgp.gov.cn）列入失信被执行人、税收违法黑名单、政府采购严重违法失信行为记录名单；</w:t>
            </w:r>
          </w:p>
        </w:tc>
        <w:tc>
          <w:tcPr>
            <w:tcW w:w="571" w:type="dxa"/>
          </w:tcPr>
          <w:p w14:paraId="26F83947">
            <w:pPr>
              <w:spacing w:line="360" w:lineRule="auto"/>
              <w:rPr>
                <w:rFonts w:hint="eastAsia" w:ascii="仿宋" w:hAnsi="仿宋" w:eastAsia="仿宋" w:cs="仿宋"/>
                <w:color w:val="auto"/>
                <w:sz w:val="24"/>
                <w:szCs w:val="24"/>
                <w:highlight w:val="none"/>
              </w:rPr>
            </w:pPr>
          </w:p>
        </w:tc>
        <w:tc>
          <w:tcPr>
            <w:tcW w:w="674" w:type="dxa"/>
          </w:tcPr>
          <w:p w14:paraId="26663EC2">
            <w:pPr>
              <w:spacing w:line="360" w:lineRule="auto"/>
              <w:rPr>
                <w:rFonts w:hint="eastAsia" w:ascii="仿宋" w:hAnsi="仿宋" w:eastAsia="仿宋" w:cs="仿宋"/>
                <w:color w:val="auto"/>
                <w:sz w:val="24"/>
                <w:szCs w:val="24"/>
                <w:highlight w:val="none"/>
              </w:rPr>
            </w:pPr>
          </w:p>
        </w:tc>
      </w:tr>
      <w:tr w14:paraId="19490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08" w:type="dxa"/>
            <w:vMerge w:val="continue"/>
            <w:vAlign w:val="center"/>
          </w:tcPr>
          <w:p w14:paraId="07D85F1E">
            <w:pPr>
              <w:spacing w:line="360" w:lineRule="auto"/>
              <w:rPr>
                <w:rFonts w:hint="eastAsia" w:ascii="仿宋" w:hAnsi="仿宋" w:eastAsia="仿宋" w:cs="仿宋"/>
                <w:color w:val="auto"/>
                <w:sz w:val="24"/>
                <w:szCs w:val="24"/>
                <w:highlight w:val="none"/>
              </w:rPr>
            </w:pPr>
          </w:p>
        </w:tc>
        <w:tc>
          <w:tcPr>
            <w:tcW w:w="490" w:type="dxa"/>
            <w:vAlign w:val="center"/>
          </w:tcPr>
          <w:p w14:paraId="1D87A73F">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936" w:type="dxa"/>
            <w:shd w:val="clear" w:color="auto" w:fill="auto"/>
            <w:vAlign w:val="center"/>
          </w:tcPr>
          <w:p w14:paraId="6A2DBF65">
            <w:pPr>
              <w:pStyle w:val="4"/>
              <w:spacing w:line="301" w:lineRule="auto"/>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特定资质核查：</w:t>
            </w:r>
          </w:p>
          <w:p w14:paraId="0634D236">
            <w:pPr>
              <w:widowControl/>
              <w:spacing w:line="360" w:lineRule="auto"/>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【标项1】</w:t>
            </w:r>
            <w:r>
              <w:rPr>
                <w:rFonts w:hint="eastAsia" w:ascii="仿宋" w:hAnsi="仿宋" w:eastAsia="仿宋" w:cs="仿宋"/>
                <w:color w:val="auto"/>
                <w:sz w:val="24"/>
                <w:szCs w:val="24"/>
                <w:highlight w:val="none"/>
              </w:rPr>
              <w:t>投标企业须具备行政主管部门颁发的测绘乙级及以上资质证书</w:t>
            </w:r>
            <w:r>
              <w:rPr>
                <w:rFonts w:hint="eastAsia" w:ascii="仿宋" w:hAnsi="仿宋" w:eastAsia="仿宋" w:cs="仿宋"/>
                <w:color w:val="auto"/>
                <w:sz w:val="24"/>
                <w:szCs w:val="24"/>
                <w:highlight w:val="none"/>
                <w:lang w:eastAsia="zh-CN"/>
              </w:rPr>
              <w:t>。</w:t>
            </w:r>
          </w:p>
          <w:p w14:paraId="45AE1D68">
            <w:pPr>
              <w:widowControl/>
              <w:spacing w:line="360" w:lineRule="auto"/>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【标项5】</w:t>
            </w:r>
            <w:r>
              <w:rPr>
                <w:rFonts w:hint="eastAsia" w:ascii="仿宋" w:hAnsi="仿宋" w:eastAsia="仿宋" w:cs="仿宋"/>
                <w:color w:val="auto"/>
                <w:sz w:val="24"/>
                <w:szCs w:val="24"/>
                <w:highlight w:val="none"/>
              </w:rPr>
              <w:t>投标企业须</w:t>
            </w:r>
            <w:r>
              <w:rPr>
                <w:rFonts w:hint="eastAsia" w:ascii="仿宋" w:hAnsi="仿宋" w:eastAsia="仿宋" w:cs="仿宋"/>
                <w:color w:val="auto"/>
                <w:sz w:val="24"/>
                <w:szCs w:val="24"/>
                <w:highlight w:val="none"/>
                <w:lang w:val="en-US" w:eastAsia="zh-CN"/>
              </w:rPr>
              <w:t>具备</w:t>
            </w:r>
            <w:r>
              <w:rPr>
                <w:rFonts w:hint="eastAsia" w:ascii="仿宋" w:hAnsi="仿宋" w:eastAsia="仿宋" w:cs="仿宋"/>
                <w:color w:val="auto"/>
                <w:sz w:val="24"/>
                <w:szCs w:val="24"/>
                <w:highlight w:val="none"/>
              </w:rPr>
              <w:t>国家行政主管部门合法登记注册，并具备有效的公证机构执业证书</w:t>
            </w:r>
            <w:r>
              <w:rPr>
                <w:rFonts w:hint="eastAsia" w:ascii="仿宋" w:hAnsi="仿宋" w:eastAsia="仿宋" w:cs="仿宋"/>
                <w:color w:val="auto"/>
                <w:sz w:val="24"/>
                <w:szCs w:val="24"/>
                <w:highlight w:val="none"/>
                <w:lang w:val="en-US" w:eastAsia="zh-CN"/>
              </w:rPr>
              <w:t>。</w:t>
            </w:r>
          </w:p>
          <w:p w14:paraId="5971B369">
            <w:pPr>
              <w:widowControl/>
              <w:spacing w:line="360" w:lineRule="auto"/>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【标项7】</w:t>
            </w:r>
            <w:r>
              <w:rPr>
                <w:rFonts w:hint="eastAsia" w:ascii="仿宋" w:hAnsi="仿宋" w:eastAsia="仿宋" w:cs="仿宋"/>
                <w:color w:val="auto"/>
                <w:sz w:val="24"/>
                <w:szCs w:val="24"/>
                <w:highlight w:val="none"/>
              </w:rPr>
              <w:t>投标企业须</w:t>
            </w:r>
            <w:r>
              <w:rPr>
                <w:rFonts w:hint="eastAsia" w:ascii="仿宋" w:hAnsi="仿宋" w:eastAsia="仿宋" w:cs="仿宋"/>
                <w:color w:val="auto"/>
                <w:sz w:val="24"/>
                <w:szCs w:val="24"/>
                <w:highlight w:val="none"/>
                <w:lang w:val="en-US" w:eastAsia="zh-CN"/>
              </w:rPr>
              <w:t>具备[施工总承包·建筑工程·建筑工程二级](含)以上；施工项目负责人资质类别和等级：具有建筑工程专业二级注册建造师执业资格及有效的安全生产考核合格证书，且未担任其他在建建设工程项目的项目负责人，外省投标企业须提供《新疆维吾尔自治区区外建设工程企业信息登记册》或http://jsy.xjjs.gov.cn/下载审核通过的信息报送册。</w:t>
            </w:r>
          </w:p>
          <w:p w14:paraId="62659727">
            <w:pPr>
              <w:widowControl/>
              <w:spacing w:line="360" w:lineRule="auto"/>
              <w:jc w:val="left"/>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【标项8】投标企业项目负责人须具备在本单位注册的土木建筑工程专业一级注册造价师。</w:t>
            </w:r>
          </w:p>
          <w:p w14:paraId="5934F1EF">
            <w:pPr>
              <w:widowControl/>
              <w:spacing w:line="360" w:lineRule="auto"/>
              <w:jc w:val="left"/>
              <w:textAlignment w:val="center"/>
              <w:rPr>
                <w:rFonts w:hint="eastAsia" w:ascii="仿宋" w:hAnsi="仿宋" w:eastAsia="仿宋" w:cs="仿宋"/>
                <w:snapToGrid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【标项9】投标企业须具备国家许可和备案的(房地产估价机构备案证书)三级(含三级)及以上资质；拟任项目负责人具有房地产估价师资格。</w:t>
            </w:r>
          </w:p>
        </w:tc>
        <w:tc>
          <w:tcPr>
            <w:tcW w:w="571" w:type="dxa"/>
          </w:tcPr>
          <w:p w14:paraId="24CFCB7A">
            <w:pPr>
              <w:spacing w:line="360" w:lineRule="auto"/>
              <w:rPr>
                <w:rFonts w:hint="eastAsia" w:ascii="仿宋" w:hAnsi="仿宋" w:eastAsia="仿宋" w:cs="仿宋"/>
                <w:color w:val="auto"/>
                <w:sz w:val="24"/>
                <w:szCs w:val="24"/>
                <w:highlight w:val="none"/>
              </w:rPr>
            </w:pPr>
          </w:p>
        </w:tc>
        <w:tc>
          <w:tcPr>
            <w:tcW w:w="674" w:type="dxa"/>
          </w:tcPr>
          <w:p w14:paraId="3E9A95CA">
            <w:pPr>
              <w:spacing w:line="360" w:lineRule="auto"/>
              <w:rPr>
                <w:rFonts w:hint="eastAsia" w:ascii="仿宋" w:hAnsi="仿宋" w:eastAsia="仿宋" w:cs="仿宋"/>
                <w:color w:val="auto"/>
                <w:sz w:val="24"/>
                <w:szCs w:val="24"/>
                <w:highlight w:val="none"/>
              </w:rPr>
            </w:pPr>
          </w:p>
        </w:tc>
      </w:tr>
      <w:tr w14:paraId="6EBC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08" w:type="dxa"/>
            <w:vMerge w:val="continue"/>
            <w:vAlign w:val="center"/>
          </w:tcPr>
          <w:p w14:paraId="0AEC53E6">
            <w:pPr>
              <w:spacing w:line="360" w:lineRule="auto"/>
              <w:rPr>
                <w:rFonts w:hint="eastAsia" w:ascii="仿宋" w:hAnsi="仿宋" w:eastAsia="仿宋" w:cs="仿宋"/>
                <w:color w:val="auto"/>
                <w:sz w:val="24"/>
                <w:szCs w:val="24"/>
                <w:highlight w:val="none"/>
              </w:rPr>
            </w:pPr>
          </w:p>
        </w:tc>
        <w:tc>
          <w:tcPr>
            <w:tcW w:w="490" w:type="dxa"/>
            <w:vAlign w:val="center"/>
          </w:tcPr>
          <w:p w14:paraId="43ACF7FF">
            <w:pPr>
              <w:spacing w:line="36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6936" w:type="dxa"/>
            <w:shd w:val="clear" w:color="auto" w:fill="auto"/>
            <w:vAlign w:val="center"/>
          </w:tcPr>
          <w:p w14:paraId="171C3348">
            <w:pPr>
              <w:widowControl/>
              <w:spacing w:line="360" w:lineRule="auto"/>
              <w:jc w:val="left"/>
              <w:textAlignment w:val="center"/>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供应商应为中小企业  请根据要求单独上传《中小企业声明函》。格式以采购文件要求为准。</w:t>
            </w:r>
          </w:p>
        </w:tc>
        <w:tc>
          <w:tcPr>
            <w:tcW w:w="571" w:type="dxa"/>
          </w:tcPr>
          <w:p w14:paraId="69089D67">
            <w:pPr>
              <w:spacing w:line="360" w:lineRule="auto"/>
              <w:rPr>
                <w:rFonts w:hint="eastAsia" w:ascii="仿宋" w:hAnsi="仿宋" w:eastAsia="仿宋" w:cs="仿宋"/>
                <w:color w:val="auto"/>
                <w:sz w:val="24"/>
                <w:szCs w:val="24"/>
                <w:highlight w:val="none"/>
              </w:rPr>
            </w:pPr>
          </w:p>
        </w:tc>
        <w:tc>
          <w:tcPr>
            <w:tcW w:w="674" w:type="dxa"/>
          </w:tcPr>
          <w:p w14:paraId="00582944">
            <w:pPr>
              <w:spacing w:line="360" w:lineRule="auto"/>
              <w:rPr>
                <w:rFonts w:hint="eastAsia" w:ascii="仿宋" w:hAnsi="仿宋" w:eastAsia="仿宋" w:cs="仿宋"/>
                <w:color w:val="auto"/>
                <w:sz w:val="24"/>
                <w:szCs w:val="24"/>
                <w:highlight w:val="none"/>
              </w:rPr>
            </w:pPr>
          </w:p>
        </w:tc>
      </w:tr>
      <w:tr w14:paraId="6ECE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08" w:type="dxa"/>
            <w:vMerge w:val="continue"/>
            <w:vAlign w:val="center"/>
          </w:tcPr>
          <w:p w14:paraId="71ABE05F">
            <w:pPr>
              <w:spacing w:line="360" w:lineRule="auto"/>
              <w:rPr>
                <w:rFonts w:hint="eastAsia" w:ascii="仿宋" w:hAnsi="仿宋" w:eastAsia="仿宋" w:cs="仿宋"/>
                <w:color w:val="auto"/>
                <w:sz w:val="24"/>
                <w:szCs w:val="24"/>
                <w:highlight w:val="none"/>
              </w:rPr>
            </w:pPr>
          </w:p>
        </w:tc>
        <w:tc>
          <w:tcPr>
            <w:tcW w:w="490" w:type="dxa"/>
          </w:tcPr>
          <w:p w14:paraId="362FDDE5">
            <w:pPr>
              <w:spacing w:line="360" w:lineRule="auto"/>
              <w:rPr>
                <w:rFonts w:hint="eastAsia" w:ascii="仿宋" w:hAnsi="仿宋" w:eastAsia="仿宋" w:cs="仿宋"/>
                <w:color w:val="auto"/>
                <w:sz w:val="24"/>
                <w:szCs w:val="24"/>
                <w:highlight w:val="none"/>
              </w:rPr>
            </w:pPr>
          </w:p>
        </w:tc>
        <w:tc>
          <w:tcPr>
            <w:tcW w:w="6936" w:type="dxa"/>
          </w:tcPr>
          <w:p w14:paraId="234626C7">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结论：是否通过评审（须填写通过或不通过）</w:t>
            </w:r>
          </w:p>
          <w:p w14:paraId="7480B843">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注：如有一项不合格，作废标处理。</w:t>
            </w:r>
          </w:p>
        </w:tc>
        <w:tc>
          <w:tcPr>
            <w:tcW w:w="571" w:type="dxa"/>
          </w:tcPr>
          <w:p w14:paraId="2CD065E0">
            <w:pPr>
              <w:spacing w:line="360" w:lineRule="auto"/>
              <w:rPr>
                <w:rFonts w:hint="eastAsia" w:ascii="仿宋" w:hAnsi="仿宋" w:eastAsia="仿宋" w:cs="仿宋"/>
                <w:color w:val="auto"/>
                <w:sz w:val="24"/>
                <w:szCs w:val="24"/>
                <w:highlight w:val="none"/>
              </w:rPr>
            </w:pPr>
          </w:p>
        </w:tc>
        <w:tc>
          <w:tcPr>
            <w:tcW w:w="674" w:type="dxa"/>
          </w:tcPr>
          <w:p w14:paraId="46EBFFF1">
            <w:pPr>
              <w:spacing w:line="360" w:lineRule="auto"/>
              <w:rPr>
                <w:rFonts w:hint="eastAsia" w:ascii="仿宋" w:hAnsi="仿宋" w:eastAsia="仿宋" w:cs="仿宋"/>
                <w:color w:val="auto"/>
                <w:sz w:val="24"/>
                <w:szCs w:val="24"/>
                <w:highlight w:val="none"/>
              </w:rPr>
            </w:pPr>
          </w:p>
        </w:tc>
      </w:tr>
    </w:tbl>
    <w:p w14:paraId="28908424">
      <w:pPr>
        <w:pStyle w:val="4"/>
        <w:spacing w:line="298" w:lineRule="auto"/>
        <w:rPr>
          <w:rFonts w:hint="eastAsia" w:ascii="仿宋" w:hAnsi="仿宋" w:eastAsia="仿宋" w:cs="仿宋"/>
          <w:color w:val="auto"/>
          <w:highlight w:val="none"/>
        </w:rPr>
      </w:pPr>
    </w:p>
    <w:p w14:paraId="7207FDAB">
      <w:pPr>
        <w:rPr>
          <w:rFonts w:hint="eastAsia" w:ascii="仿宋" w:hAnsi="仿宋" w:eastAsia="仿宋" w:cs="仿宋"/>
          <w:color w:val="auto"/>
          <w:highlight w:val="none"/>
        </w:rPr>
      </w:pPr>
    </w:p>
    <w:tbl>
      <w:tblPr>
        <w:tblStyle w:val="16"/>
        <w:tblpPr w:leftFromText="180" w:rightFromText="180" w:vertAnchor="text" w:horzAnchor="page" w:tblpX="1293" w:tblpY="54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9"/>
        <w:gridCol w:w="575"/>
        <w:gridCol w:w="6625"/>
        <w:gridCol w:w="482"/>
        <w:gridCol w:w="884"/>
      </w:tblGrid>
      <w:tr w14:paraId="32F10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869" w:type="dxa"/>
            <w:tcBorders>
              <w:top w:val="single" w:color="auto" w:sz="4" w:space="0"/>
              <w:left w:val="single" w:color="auto" w:sz="4" w:space="0"/>
            </w:tcBorders>
            <w:noWrap w:val="0"/>
            <w:vAlign w:val="center"/>
          </w:tcPr>
          <w:p w14:paraId="330E5766">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w:t>
            </w:r>
          </w:p>
        </w:tc>
        <w:tc>
          <w:tcPr>
            <w:tcW w:w="7200" w:type="dxa"/>
            <w:gridSpan w:val="2"/>
            <w:tcBorders>
              <w:top w:val="single" w:color="auto" w:sz="4" w:space="0"/>
            </w:tcBorders>
            <w:noWrap w:val="0"/>
            <w:vAlign w:val="center"/>
          </w:tcPr>
          <w:p w14:paraId="498B6730">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评审内容</w:t>
            </w:r>
          </w:p>
        </w:tc>
        <w:tc>
          <w:tcPr>
            <w:tcW w:w="1366" w:type="dxa"/>
            <w:gridSpan w:val="2"/>
            <w:tcBorders>
              <w:top w:val="single" w:color="auto" w:sz="4" w:space="0"/>
              <w:right w:val="single" w:color="auto" w:sz="4" w:space="0"/>
            </w:tcBorders>
            <w:noWrap w:val="0"/>
            <w:vAlign w:val="center"/>
          </w:tcPr>
          <w:p w14:paraId="46F9C8A4">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评审意见</w:t>
            </w:r>
          </w:p>
        </w:tc>
      </w:tr>
      <w:tr w14:paraId="6373C5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9" w:type="dxa"/>
            <w:tcBorders>
              <w:left w:val="single" w:color="auto" w:sz="4" w:space="0"/>
              <w:bottom w:val="single" w:color="auto" w:sz="4" w:space="0"/>
            </w:tcBorders>
            <w:noWrap w:val="0"/>
            <w:vAlign w:val="center"/>
          </w:tcPr>
          <w:p w14:paraId="748C4161">
            <w:pPr>
              <w:shd w:val="clear" w:color="auto" w:fill="auto"/>
              <w:rPr>
                <w:rFonts w:hint="eastAsia" w:ascii="宋体" w:hAnsi="宋体" w:eastAsia="宋体" w:cs="宋体"/>
                <w:color w:val="auto"/>
                <w:highlight w:val="none"/>
              </w:rPr>
            </w:pPr>
          </w:p>
        </w:tc>
        <w:tc>
          <w:tcPr>
            <w:tcW w:w="7200" w:type="dxa"/>
            <w:gridSpan w:val="2"/>
            <w:tcBorders>
              <w:bottom w:val="single" w:color="auto" w:sz="4" w:space="0"/>
            </w:tcBorders>
            <w:noWrap w:val="0"/>
            <w:vAlign w:val="top"/>
          </w:tcPr>
          <w:p w14:paraId="651BBB52">
            <w:pPr>
              <w:shd w:val="clear" w:color="auto" w:fill="auto"/>
              <w:rPr>
                <w:rFonts w:hint="eastAsia" w:ascii="宋体" w:hAnsi="宋体" w:eastAsia="宋体" w:cs="宋体"/>
                <w:color w:val="auto"/>
                <w:highlight w:val="none"/>
              </w:rPr>
            </w:pPr>
          </w:p>
        </w:tc>
        <w:tc>
          <w:tcPr>
            <w:tcW w:w="482" w:type="dxa"/>
            <w:noWrap w:val="0"/>
            <w:vAlign w:val="center"/>
          </w:tcPr>
          <w:p w14:paraId="01EFFAC8">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是</w:t>
            </w:r>
          </w:p>
        </w:tc>
        <w:tc>
          <w:tcPr>
            <w:tcW w:w="884" w:type="dxa"/>
            <w:tcBorders>
              <w:right w:val="single" w:color="auto" w:sz="4" w:space="0"/>
            </w:tcBorders>
            <w:noWrap w:val="0"/>
            <w:vAlign w:val="center"/>
          </w:tcPr>
          <w:p w14:paraId="3C61BD78">
            <w:pPr>
              <w:shd w:val="clear" w:color="auto" w:fill="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否</w:t>
            </w:r>
          </w:p>
        </w:tc>
      </w:tr>
      <w:tr w14:paraId="7BF19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869" w:type="dxa"/>
            <w:vMerge w:val="restart"/>
            <w:tcBorders>
              <w:top w:val="single" w:color="auto" w:sz="4" w:space="0"/>
              <w:left w:val="single" w:color="auto" w:sz="4" w:space="0"/>
              <w:right w:val="single" w:color="auto" w:sz="4" w:space="0"/>
            </w:tcBorders>
            <w:noWrap w:val="0"/>
            <w:vAlign w:val="center"/>
          </w:tcPr>
          <w:p w14:paraId="68E4DF9C">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w:t>
            </w:r>
          </w:p>
          <w:p w14:paraId="12A29A16">
            <w:pPr>
              <w:shd w:val="clear" w:color="auto" w:fill="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核</w:t>
            </w:r>
          </w:p>
          <w:p w14:paraId="110F33EE">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w:t>
            </w:r>
          </w:p>
          <w:p w14:paraId="1DF4A0FC">
            <w:pPr>
              <w:shd w:val="clear" w:color="auto" w:fill="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准</w:t>
            </w:r>
          </w:p>
        </w:tc>
        <w:tc>
          <w:tcPr>
            <w:tcW w:w="575" w:type="dxa"/>
            <w:tcBorders>
              <w:top w:val="single" w:color="auto" w:sz="4" w:space="0"/>
              <w:left w:val="single" w:color="auto" w:sz="4" w:space="0"/>
              <w:right w:val="single" w:color="auto" w:sz="4" w:space="0"/>
            </w:tcBorders>
            <w:noWrap w:val="0"/>
            <w:vAlign w:val="center"/>
          </w:tcPr>
          <w:p w14:paraId="673875FC">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6625" w:type="dxa"/>
            <w:tcBorders>
              <w:top w:val="single" w:color="auto" w:sz="4" w:space="0"/>
              <w:left w:val="single" w:color="auto" w:sz="4" w:space="0"/>
              <w:right w:val="single" w:color="auto" w:sz="4" w:space="0"/>
            </w:tcBorders>
            <w:shd w:val="clear" w:color="auto" w:fill="auto"/>
            <w:noWrap w:val="0"/>
            <w:vAlign w:val="top"/>
          </w:tcPr>
          <w:p w14:paraId="3823844D">
            <w:pPr>
              <w:spacing w:before="148" w:line="360" w:lineRule="auto"/>
              <w:ind w:left="128"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2"/>
                <w:sz w:val="24"/>
                <w:szCs w:val="24"/>
                <w:highlight w:val="none"/>
              </w:rPr>
              <w:t>响应文件按照征集文件规定要求签署、盖章的；</w:t>
            </w:r>
          </w:p>
        </w:tc>
        <w:tc>
          <w:tcPr>
            <w:tcW w:w="482" w:type="dxa"/>
            <w:tcBorders>
              <w:left w:val="single" w:color="auto" w:sz="4" w:space="0"/>
              <w:right w:val="single" w:color="auto" w:sz="4" w:space="0"/>
            </w:tcBorders>
            <w:noWrap w:val="0"/>
            <w:vAlign w:val="top"/>
          </w:tcPr>
          <w:p w14:paraId="24E78088">
            <w:pPr>
              <w:shd w:val="clear" w:color="auto" w:fill="auto"/>
              <w:jc w:val="center"/>
              <w:rPr>
                <w:rFonts w:hint="eastAsia" w:ascii="宋体" w:hAnsi="宋体" w:eastAsia="宋体" w:cs="宋体"/>
                <w:b/>
                <w:color w:val="auto"/>
                <w:szCs w:val="21"/>
                <w:highlight w:val="none"/>
              </w:rPr>
            </w:pPr>
          </w:p>
        </w:tc>
        <w:tc>
          <w:tcPr>
            <w:tcW w:w="884" w:type="dxa"/>
            <w:tcBorders>
              <w:left w:val="single" w:color="auto" w:sz="4" w:space="0"/>
              <w:right w:val="single" w:color="auto" w:sz="4" w:space="0"/>
            </w:tcBorders>
            <w:noWrap w:val="0"/>
            <w:vAlign w:val="top"/>
          </w:tcPr>
          <w:p w14:paraId="069C4A40">
            <w:pPr>
              <w:shd w:val="clear" w:color="auto" w:fill="auto"/>
              <w:jc w:val="center"/>
              <w:rPr>
                <w:rFonts w:hint="eastAsia" w:ascii="宋体" w:hAnsi="宋体" w:eastAsia="宋体" w:cs="宋体"/>
                <w:b/>
                <w:color w:val="auto"/>
                <w:szCs w:val="21"/>
                <w:highlight w:val="none"/>
              </w:rPr>
            </w:pPr>
          </w:p>
        </w:tc>
      </w:tr>
      <w:tr w14:paraId="4F797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69" w:type="dxa"/>
            <w:vMerge w:val="continue"/>
            <w:tcBorders>
              <w:left w:val="single" w:color="auto" w:sz="4" w:space="0"/>
              <w:right w:val="single" w:color="auto" w:sz="4" w:space="0"/>
            </w:tcBorders>
            <w:noWrap w:val="0"/>
            <w:vAlign w:val="center"/>
          </w:tcPr>
          <w:p w14:paraId="21A1F93F">
            <w:pPr>
              <w:shd w:val="clear" w:color="auto" w:fill="auto"/>
              <w:rPr>
                <w:rFonts w:hint="eastAsia" w:ascii="宋体" w:hAnsi="宋体" w:eastAsia="宋体" w:cs="宋体"/>
                <w:color w:val="auto"/>
                <w:highlight w:val="none"/>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773F9091">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662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45FF88E">
            <w:pPr>
              <w:spacing w:before="215" w:line="360" w:lineRule="auto"/>
              <w:ind w:left="128"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1"/>
                <w:sz w:val="24"/>
                <w:szCs w:val="24"/>
                <w:highlight w:val="none"/>
              </w:rPr>
              <w:t>响应文件的资格证明材料满足征集文件中的实质性要求；</w:t>
            </w:r>
          </w:p>
        </w:tc>
        <w:tc>
          <w:tcPr>
            <w:tcW w:w="482" w:type="dxa"/>
            <w:tcBorders>
              <w:left w:val="single" w:color="auto" w:sz="4" w:space="0"/>
            </w:tcBorders>
            <w:noWrap w:val="0"/>
            <w:vAlign w:val="top"/>
          </w:tcPr>
          <w:p w14:paraId="748BA325">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14:paraId="4248B50E">
            <w:pPr>
              <w:shd w:val="clear" w:color="auto" w:fill="auto"/>
              <w:rPr>
                <w:rFonts w:hint="eastAsia" w:ascii="宋体" w:hAnsi="宋体" w:eastAsia="宋体" w:cs="宋体"/>
                <w:color w:val="auto"/>
                <w:szCs w:val="21"/>
                <w:highlight w:val="none"/>
              </w:rPr>
            </w:pPr>
          </w:p>
        </w:tc>
      </w:tr>
      <w:tr w14:paraId="6A1E05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4" w:hRule="atLeast"/>
        </w:trPr>
        <w:tc>
          <w:tcPr>
            <w:tcW w:w="869" w:type="dxa"/>
            <w:vMerge w:val="continue"/>
            <w:tcBorders>
              <w:left w:val="single" w:color="auto" w:sz="4" w:space="0"/>
              <w:right w:val="single" w:color="auto" w:sz="4" w:space="0"/>
            </w:tcBorders>
            <w:noWrap w:val="0"/>
            <w:vAlign w:val="center"/>
          </w:tcPr>
          <w:p w14:paraId="3CEF9413">
            <w:pPr>
              <w:shd w:val="clear" w:color="auto" w:fill="auto"/>
              <w:rPr>
                <w:rFonts w:hint="eastAsia" w:ascii="宋体" w:hAnsi="宋体" w:eastAsia="宋体" w:cs="宋体"/>
                <w:color w:val="auto"/>
                <w:highlight w:val="none"/>
              </w:rPr>
            </w:pPr>
          </w:p>
        </w:tc>
        <w:tc>
          <w:tcPr>
            <w:tcW w:w="575" w:type="dxa"/>
            <w:tcBorders>
              <w:top w:val="single" w:color="auto" w:sz="4" w:space="0"/>
              <w:left w:val="single" w:color="auto" w:sz="4" w:space="0"/>
              <w:right w:val="single" w:color="auto" w:sz="4" w:space="0"/>
            </w:tcBorders>
            <w:noWrap w:val="0"/>
            <w:vAlign w:val="center"/>
          </w:tcPr>
          <w:p w14:paraId="287E6403">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6625" w:type="dxa"/>
            <w:tcBorders>
              <w:top w:val="single" w:color="auto" w:sz="4" w:space="0"/>
              <w:left w:val="single" w:color="auto" w:sz="4" w:space="0"/>
              <w:right w:val="single" w:color="auto" w:sz="4" w:space="0"/>
            </w:tcBorders>
            <w:shd w:val="clear" w:color="auto" w:fill="auto"/>
            <w:noWrap w:val="0"/>
            <w:vAlign w:val="top"/>
          </w:tcPr>
          <w:p w14:paraId="2BB28DC5">
            <w:pPr>
              <w:spacing w:before="168" w:line="360" w:lineRule="auto"/>
              <w:ind w:left="126"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1"/>
                <w:sz w:val="24"/>
                <w:szCs w:val="24"/>
                <w:highlight w:val="none"/>
              </w:rPr>
              <w:t>不属于串通投标，或者依法不被视为串通投</w:t>
            </w:r>
            <w:r>
              <w:rPr>
                <w:rFonts w:hint="eastAsia" w:ascii="仿宋" w:hAnsi="仿宋" w:eastAsia="仿宋" w:cs="仿宋"/>
                <w:color w:val="auto"/>
                <w:spacing w:val="-2"/>
                <w:sz w:val="24"/>
                <w:szCs w:val="24"/>
                <w:highlight w:val="none"/>
              </w:rPr>
              <w:t>标；</w:t>
            </w:r>
          </w:p>
        </w:tc>
        <w:tc>
          <w:tcPr>
            <w:tcW w:w="482" w:type="dxa"/>
            <w:tcBorders>
              <w:left w:val="single" w:color="auto" w:sz="4" w:space="0"/>
            </w:tcBorders>
            <w:noWrap w:val="0"/>
            <w:vAlign w:val="top"/>
          </w:tcPr>
          <w:p w14:paraId="2696F8FE">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14:paraId="46649A48">
            <w:pPr>
              <w:shd w:val="clear" w:color="auto" w:fill="auto"/>
              <w:rPr>
                <w:rFonts w:hint="eastAsia" w:ascii="宋体" w:hAnsi="宋体" w:eastAsia="宋体" w:cs="宋体"/>
                <w:color w:val="auto"/>
                <w:szCs w:val="21"/>
                <w:highlight w:val="none"/>
              </w:rPr>
            </w:pPr>
          </w:p>
        </w:tc>
      </w:tr>
      <w:tr w14:paraId="695F5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 w:hRule="atLeast"/>
        </w:trPr>
        <w:tc>
          <w:tcPr>
            <w:tcW w:w="869" w:type="dxa"/>
            <w:vMerge w:val="continue"/>
            <w:tcBorders>
              <w:left w:val="single" w:color="auto" w:sz="4" w:space="0"/>
              <w:right w:val="single" w:color="auto" w:sz="4" w:space="0"/>
            </w:tcBorders>
            <w:noWrap w:val="0"/>
            <w:vAlign w:val="center"/>
          </w:tcPr>
          <w:p w14:paraId="7534FB5A">
            <w:pPr>
              <w:shd w:val="clear" w:color="auto" w:fill="auto"/>
              <w:rPr>
                <w:rFonts w:hint="eastAsia" w:ascii="宋体" w:hAnsi="宋体" w:eastAsia="宋体" w:cs="宋体"/>
                <w:color w:val="auto"/>
                <w:highlight w:val="none"/>
              </w:rPr>
            </w:pPr>
          </w:p>
        </w:tc>
        <w:tc>
          <w:tcPr>
            <w:tcW w:w="575" w:type="dxa"/>
            <w:tcBorders>
              <w:left w:val="single" w:color="auto" w:sz="4" w:space="0"/>
            </w:tcBorders>
            <w:noWrap w:val="0"/>
            <w:vAlign w:val="center"/>
          </w:tcPr>
          <w:p w14:paraId="6F7E0FD3">
            <w:pPr>
              <w:shd w:val="clear" w:color="auto" w:fill="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4</w:t>
            </w:r>
          </w:p>
        </w:tc>
        <w:tc>
          <w:tcPr>
            <w:tcW w:w="6625" w:type="dxa"/>
            <w:tcBorders>
              <w:right w:val="single" w:color="auto" w:sz="4" w:space="0"/>
            </w:tcBorders>
            <w:shd w:val="clear" w:color="auto" w:fill="auto"/>
            <w:noWrap w:val="0"/>
            <w:vAlign w:val="top"/>
          </w:tcPr>
          <w:p w14:paraId="0FD2CBCC">
            <w:pPr>
              <w:spacing w:before="167" w:line="360" w:lineRule="auto"/>
              <w:ind w:left="119"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z w:val="24"/>
                <w:szCs w:val="24"/>
                <w:highlight w:val="none"/>
              </w:rPr>
              <w:t>报价未</w:t>
            </w:r>
            <w:r>
              <w:rPr>
                <w:rFonts w:hint="eastAsia" w:ascii="仿宋" w:hAnsi="仿宋" w:eastAsia="仿宋" w:cs="仿宋"/>
                <w:color w:val="auto"/>
                <w:sz w:val="24"/>
                <w:szCs w:val="24"/>
                <w:highlight w:val="none"/>
                <w:lang w:val="en-US" w:eastAsia="zh-CN"/>
              </w:rPr>
              <w:t>超过</w:t>
            </w:r>
            <w:r>
              <w:rPr>
                <w:rFonts w:hint="eastAsia" w:ascii="仿宋" w:hAnsi="仿宋" w:eastAsia="仿宋" w:cs="仿宋"/>
                <w:color w:val="auto"/>
                <w:sz w:val="24"/>
                <w:szCs w:val="24"/>
                <w:highlight w:val="none"/>
              </w:rPr>
              <w:t>征集文件规定的</w:t>
            </w:r>
            <w:r>
              <w:rPr>
                <w:rFonts w:hint="eastAsia" w:ascii="仿宋" w:hAnsi="仿宋" w:eastAsia="仿宋" w:cs="仿宋"/>
                <w:color w:val="auto"/>
                <w:sz w:val="24"/>
                <w:szCs w:val="24"/>
                <w:highlight w:val="none"/>
                <w:lang w:val="en-US" w:eastAsia="zh-CN"/>
              </w:rPr>
              <w:t>各项最高限价</w:t>
            </w:r>
            <w:r>
              <w:rPr>
                <w:rFonts w:hint="eastAsia" w:ascii="仿宋" w:hAnsi="仿宋" w:eastAsia="仿宋" w:cs="仿宋"/>
                <w:color w:val="auto"/>
                <w:sz w:val="24"/>
                <w:szCs w:val="24"/>
                <w:highlight w:val="none"/>
              </w:rPr>
              <w:t>；</w:t>
            </w:r>
          </w:p>
        </w:tc>
        <w:tc>
          <w:tcPr>
            <w:tcW w:w="482" w:type="dxa"/>
            <w:tcBorders>
              <w:left w:val="single" w:color="auto" w:sz="4" w:space="0"/>
            </w:tcBorders>
            <w:noWrap w:val="0"/>
            <w:vAlign w:val="top"/>
          </w:tcPr>
          <w:p w14:paraId="0CB31716">
            <w:pPr>
              <w:shd w:val="clear" w:color="auto" w:fill="auto"/>
              <w:rPr>
                <w:rFonts w:hint="eastAsia" w:ascii="宋体" w:hAnsi="宋体" w:eastAsia="宋体" w:cs="宋体"/>
                <w:color w:val="auto"/>
                <w:szCs w:val="21"/>
                <w:highlight w:val="none"/>
              </w:rPr>
            </w:pPr>
          </w:p>
        </w:tc>
        <w:tc>
          <w:tcPr>
            <w:tcW w:w="884" w:type="dxa"/>
            <w:tcBorders>
              <w:right w:val="single" w:color="auto" w:sz="4" w:space="0"/>
            </w:tcBorders>
            <w:noWrap w:val="0"/>
            <w:vAlign w:val="top"/>
          </w:tcPr>
          <w:p w14:paraId="221EAFB3">
            <w:pPr>
              <w:shd w:val="clear" w:color="auto" w:fill="auto"/>
              <w:rPr>
                <w:rFonts w:hint="eastAsia" w:ascii="宋体" w:hAnsi="宋体" w:eastAsia="宋体" w:cs="宋体"/>
                <w:color w:val="auto"/>
                <w:szCs w:val="21"/>
                <w:highlight w:val="none"/>
              </w:rPr>
            </w:pPr>
          </w:p>
        </w:tc>
      </w:tr>
      <w:tr w14:paraId="7A2BE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9" w:type="dxa"/>
            <w:vMerge w:val="continue"/>
            <w:tcBorders>
              <w:left w:val="single" w:color="auto" w:sz="4" w:space="0"/>
              <w:right w:val="single" w:color="auto" w:sz="4" w:space="0"/>
            </w:tcBorders>
            <w:noWrap w:val="0"/>
            <w:vAlign w:val="center"/>
          </w:tcPr>
          <w:p w14:paraId="2B68A0E6">
            <w:pPr>
              <w:shd w:val="clear" w:color="auto" w:fill="auto"/>
              <w:rPr>
                <w:rFonts w:hint="eastAsia" w:ascii="宋体" w:hAnsi="宋体" w:eastAsia="宋体" w:cs="宋体"/>
                <w:color w:val="auto"/>
                <w:highlight w:val="none"/>
              </w:rPr>
            </w:pPr>
          </w:p>
        </w:tc>
        <w:tc>
          <w:tcPr>
            <w:tcW w:w="575" w:type="dxa"/>
            <w:tcBorders>
              <w:left w:val="single" w:color="auto" w:sz="4" w:space="0"/>
              <w:bottom w:val="single" w:color="auto" w:sz="4" w:space="0"/>
            </w:tcBorders>
            <w:shd w:val="clear" w:color="auto" w:fill="auto"/>
            <w:noWrap w:val="0"/>
            <w:vAlign w:val="center"/>
          </w:tcPr>
          <w:p w14:paraId="6F52A980">
            <w:pPr>
              <w:shd w:val="clear" w:color="auto" w:fill="auto"/>
              <w:jc w:val="center"/>
              <w:rPr>
                <w:rFonts w:hint="eastAsia" w:ascii="宋体" w:hAnsi="宋体" w:eastAsia="宋体" w:cs="宋体"/>
                <w:snapToGrid w:val="0"/>
                <w:color w:val="auto"/>
                <w:kern w:val="0"/>
                <w:sz w:val="20"/>
                <w:szCs w:val="20"/>
                <w:highlight w:val="none"/>
                <w:lang w:val="en-US" w:eastAsia="en-US" w:bidi="ar-SA"/>
              </w:rPr>
            </w:pPr>
            <w:r>
              <w:rPr>
                <w:rFonts w:hint="eastAsia" w:ascii="宋体" w:hAnsi="宋体" w:eastAsia="宋体" w:cs="宋体"/>
                <w:color w:val="auto"/>
                <w:sz w:val="20"/>
                <w:szCs w:val="20"/>
                <w:highlight w:val="none"/>
              </w:rPr>
              <w:t>5</w:t>
            </w:r>
          </w:p>
        </w:tc>
        <w:tc>
          <w:tcPr>
            <w:tcW w:w="6625" w:type="dxa"/>
            <w:tcBorders>
              <w:bottom w:val="single" w:color="auto" w:sz="4" w:space="0"/>
              <w:right w:val="single" w:color="auto" w:sz="4" w:space="0"/>
            </w:tcBorders>
            <w:shd w:val="clear" w:color="auto" w:fill="auto"/>
            <w:noWrap w:val="0"/>
            <w:vAlign w:val="top"/>
          </w:tcPr>
          <w:p w14:paraId="3D48F267">
            <w:pPr>
              <w:spacing w:before="143" w:line="360" w:lineRule="auto"/>
              <w:ind w:left="126" w:leftChars="0"/>
              <w:rPr>
                <w:rFonts w:hint="eastAsia" w:ascii="仿宋" w:hAnsi="仿宋" w:eastAsia="仿宋" w:cs="仿宋"/>
                <w:snapToGrid w:val="0"/>
                <w:color w:val="auto"/>
                <w:spacing w:val="-1"/>
                <w:kern w:val="0"/>
                <w:sz w:val="24"/>
                <w:szCs w:val="24"/>
                <w:highlight w:val="none"/>
                <w:lang w:val="en-US" w:eastAsia="zh-CN" w:bidi="ar-SA"/>
              </w:rPr>
            </w:pPr>
            <w:r>
              <w:rPr>
                <w:rFonts w:hint="eastAsia" w:ascii="仿宋" w:hAnsi="仿宋" w:eastAsia="仿宋" w:cs="仿宋"/>
                <w:color w:val="auto"/>
                <w:spacing w:val="-1"/>
                <w:sz w:val="24"/>
                <w:szCs w:val="24"/>
                <w:highlight w:val="none"/>
              </w:rPr>
              <w:t>供应商对所投征集文件中所列的所有服务内容进行响应</w:t>
            </w:r>
            <w:r>
              <w:rPr>
                <w:rFonts w:hint="eastAsia" w:ascii="仿宋" w:hAnsi="仿宋" w:eastAsia="仿宋" w:cs="仿宋"/>
                <w:color w:val="auto"/>
                <w:spacing w:val="-1"/>
                <w:sz w:val="24"/>
                <w:szCs w:val="24"/>
                <w:highlight w:val="none"/>
                <w:lang w:eastAsia="zh-CN"/>
              </w:rPr>
              <w:t>；</w:t>
            </w:r>
          </w:p>
        </w:tc>
        <w:tc>
          <w:tcPr>
            <w:tcW w:w="482" w:type="dxa"/>
            <w:tcBorders>
              <w:left w:val="single" w:color="auto" w:sz="4" w:space="0"/>
              <w:bottom w:val="single" w:color="auto" w:sz="4" w:space="0"/>
            </w:tcBorders>
            <w:noWrap w:val="0"/>
            <w:vAlign w:val="top"/>
          </w:tcPr>
          <w:p w14:paraId="1EFA5A59">
            <w:pPr>
              <w:shd w:val="clear" w:color="auto" w:fill="auto"/>
              <w:rPr>
                <w:rFonts w:hint="eastAsia" w:ascii="宋体" w:hAnsi="宋体" w:eastAsia="宋体" w:cs="宋体"/>
                <w:color w:val="auto"/>
                <w:szCs w:val="21"/>
                <w:highlight w:val="none"/>
              </w:rPr>
            </w:pPr>
          </w:p>
        </w:tc>
        <w:tc>
          <w:tcPr>
            <w:tcW w:w="884" w:type="dxa"/>
            <w:tcBorders>
              <w:bottom w:val="single" w:color="auto" w:sz="4" w:space="0"/>
              <w:right w:val="single" w:color="auto" w:sz="4" w:space="0"/>
            </w:tcBorders>
            <w:noWrap w:val="0"/>
            <w:vAlign w:val="top"/>
          </w:tcPr>
          <w:p w14:paraId="37228B2B">
            <w:pPr>
              <w:shd w:val="clear" w:color="auto" w:fill="auto"/>
              <w:rPr>
                <w:rFonts w:hint="eastAsia" w:ascii="宋体" w:hAnsi="宋体" w:eastAsia="宋体" w:cs="宋体"/>
                <w:color w:val="auto"/>
                <w:szCs w:val="21"/>
                <w:highlight w:val="none"/>
              </w:rPr>
            </w:pPr>
          </w:p>
        </w:tc>
      </w:tr>
      <w:tr w14:paraId="5B816B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9" w:type="dxa"/>
            <w:vMerge w:val="continue"/>
            <w:tcBorders>
              <w:left w:val="single" w:color="auto" w:sz="4" w:space="0"/>
              <w:right w:val="single" w:color="auto" w:sz="4" w:space="0"/>
            </w:tcBorders>
            <w:noWrap w:val="0"/>
            <w:vAlign w:val="center"/>
          </w:tcPr>
          <w:p w14:paraId="0447140F">
            <w:pPr>
              <w:shd w:val="clear" w:color="auto" w:fill="auto"/>
              <w:rPr>
                <w:rFonts w:hint="eastAsia" w:ascii="宋体" w:hAnsi="宋体" w:eastAsia="宋体" w:cs="宋体"/>
                <w:color w:val="auto"/>
                <w:highlight w:val="none"/>
              </w:rPr>
            </w:pPr>
          </w:p>
        </w:tc>
        <w:tc>
          <w:tcPr>
            <w:tcW w:w="575" w:type="dxa"/>
            <w:tcBorders>
              <w:left w:val="single" w:color="auto" w:sz="4" w:space="0"/>
              <w:bottom w:val="single" w:color="auto" w:sz="4" w:space="0"/>
            </w:tcBorders>
            <w:shd w:val="clear" w:color="auto" w:fill="auto"/>
            <w:noWrap w:val="0"/>
            <w:vAlign w:val="center"/>
          </w:tcPr>
          <w:p w14:paraId="55061708">
            <w:pPr>
              <w:shd w:val="clear" w:color="auto" w:fill="auto"/>
              <w:jc w:val="center"/>
              <w:rPr>
                <w:rFonts w:hint="eastAsia" w:ascii="宋体" w:hAnsi="宋体" w:eastAsia="宋体" w:cs="宋体"/>
                <w:snapToGrid w:val="0"/>
                <w:color w:val="auto"/>
                <w:kern w:val="0"/>
                <w:sz w:val="20"/>
                <w:szCs w:val="20"/>
                <w:highlight w:val="none"/>
                <w:lang w:val="en-US" w:eastAsia="en-US" w:bidi="ar-SA"/>
              </w:rPr>
            </w:pPr>
            <w:r>
              <w:rPr>
                <w:rFonts w:hint="eastAsia" w:ascii="宋体" w:hAnsi="宋体" w:eastAsia="宋体" w:cs="宋体"/>
                <w:color w:val="auto"/>
                <w:sz w:val="20"/>
                <w:szCs w:val="20"/>
                <w:highlight w:val="none"/>
              </w:rPr>
              <w:t>6</w:t>
            </w:r>
          </w:p>
        </w:tc>
        <w:tc>
          <w:tcPr>
            <w:tcW w:w="6625" w:type="dxa"/>
            <w:tcBorders>
              <w:bottom w:val="single" w:color="auto" w:sz="4" w:space="0"/>
              <w:right w:val="single" w:color="auto" w:sz="4" w:space="0"/>
            </w:tcBorders>
            <w:shd w:val="clear" w:color="auto" w:fill="auto"/>
            <w:noWrap w:val="0"/>
            <w:vAlign w:val="top"/>
          </w:tcPr>
          <w:p w14:paraId="5E671B83">
            <w:pPr>
              <w:spacing w:before="143" w:line="360" w:lineRule="auto"/>
              <w:ind w:left="126" w:leftChars="0"/>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color w:val="auto"/>
                <w:spacing w:val="-1"/>
                <w:sz w:val="24"/>
                <w:szCs w:val="24"/>
                <w:highlight w:val="none"/>
              </w:rPr>
              <w:t>供应商在响应文件中未提出增加等调整价格的要求或情形</w:t>
            </w:r>
            <w:r>
              <w:rPr>
                <w:rFonts w:hint="eastAsia" w:ascii="仿宋" w:hAnsi="仿宋" w:eastAsia="仿宋" w:cs="仿宋"/>
                <w:color w:val="auto"/>
                <w:spacing w:val="-1"/>
                <w:sz w:val="24"/>
                <w:szCs w:val="24"/>
                <w:highlight w:val="none"/>
                <w:lang w:eastAsia="zh-CN"/>
              </w:rPr>
              <w:t>；</w:t>
            </w:r>
          </w:p>
        </w:tc>
        <w:tc>
          <w:tcPr>
            <w:tcW w:w="482" w:type="dxa"/>
            <w:tcBorders>
              <w:left w:val="single" w:color="auto" w:sz="4" w:space="0"/>
              <w:bottom w:val="single" w:color="auto" w:sz="4" w:space="0"/>
            </w:tcBorders>
            <w:noWrap w:val="0"/>
            <w:vAlign w:val="top"/>
          </w:tcPr>
          <w:p w14:paraId="0102FF2C">
            <w:pPr>
              <w:shd w:val="clear" w:color="auto" w:fill="auto"/>
              <w:rPr>
                <w:rFonts w:hint="eastAsia" w:ascii="宋体" w:hAnsi="宋体" w:eastAsia="宋体" w:cs="宋体"/>
                <w:color w:val="auto"/>
                <w:szCs w:val="21"/>
                <w:highlight w:val="none"/>
              </w:rPr>
            </w:pPr>
          </w:p>
        </w:tc>
        <w:tc>
          <w:tcPr>
            <w:tcW w:w="884" w:type="dxa"/>
            <w:tcBorders>
              <w:bottom w:val="single" w:color="auto" w:sz="4" w:space="0"/>
              <w:right w:val="single" w:color="auto" w:sz="4" w:space="0"/>
            </w:tcBorders>
            <w:noWrap w:val="0"/>
            <w:vAlign w:val="top"/>
          </w:tcPr>
          <w:p w14:paraId="501DF590">
            <w:pPr>
              <w:shd w:val="clear" w:color="auto" w:fill="auto"/>
              <w:rPr>
                <w:rFonts w:hint="eastAsia" w:ascii="宋体" w:hAnsi="宋体" w:eastAsia="宋体" w:cs="宋体"/>
                <w:color w:val="auto"/>
                <w:szCs w:val="21"/>
                <w:highlight w:val="none"/>
              </w:rPr>
            </w:pPr>
          </w:p>
        </w:tc>
      </w:tr>
      <w:tr w14:paraId="1886F8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69" w:type="dxa"/>
            <w:vMerge w:val="continue"/>
            <w:tcBorders>
              <w:left w:val="single" w:color="auto" w:sz="4" w:space="0"/>
              <w:right w:val="single" w:color="auto" w:sz="4" w:space="0"/>
            </w:tcBorders>
            <w:noWrap w:val="0"/>
            <w:vAlign w:val="center"/>
          </w:tcPr>
          <w:p w14:paraId="6BAEBD65">
            <w:pPr>
              <w:shd w:val="clear" w:color="auto" w:fill="auto"/>
              <w:rPr>
                <w:rFonts w:hint="eastAsia" w:ascii="宋体" w:hAnsi="宋体" w:eastAsia="宋体" w:cs="宋体"/>
                <w:color w:val="auto"/>
                <w:highlight w:val="none"/>
              </w:rPr>
            </w:pPr>
          </w:p>
        </w:tc>
        <w:tc>
          <w:tcPr>
            <w:tcW w:w="575" w:type="dxa"/>
            <w:tcBorders>
              <w:left w:val="single" w:color="auto" w:sz="4" w:space="0"/>
              <w:bottom w:val="single" w:color="auto" w:sz="4" w:space="0"/>
            </w:tcBorders>
            <w:shd w:val="clear" w:color="auto" w:fill="auto"/>
            <w:noWrap w:val="0"/>
            <w:vAlign w:val="center"/>
          </w:tcPr>
          <w:p w14:paraId="1D71ED6E">
            <w:pPr>
              <w:shd w:val="clear" w:color="auto" w:fill="auto"/>
              <w:jc w:val="center"/>
              <w:rPr>
                <w:rFonts w:hint="eastAsia" w:ascii="宋体" w:hAnsi="宋体" w:eastAsia="宋体" w:cs="宋体"/>
                <w:snapToGrid w:val="0"/>
                <w:color w:val="auto"/>
                <w:kern w:val="0"/>
                <w:sz w:val="20"/>
                <w:szCs w:val="20"/>
                <w:highlight w:val="none"/>
                <w:lang w:val="en-US" w:eastAsia="en-US" w:bidi="ar-SA"/>
              </w:rPr>
            </w:pPr>
            <w:r>
              <w:rPr>
                <w:rFonts w:hint="eastAsia" w:ascii="宋体" w:hAnsi="宋体" w:eastAsia="宋体" w:cs="宋体"/>
                <w:color w:val="auto"/>
                <w:sz w:val="20"/>
                <w:szCs w:val="20"/>
                <w:highlight w:val="none"/>
              </w:rPr>
              <w:t>7</w:t>
            </w:r>
          </w:p>
        </w:tc>
        <w:tc>
          <w:tcPr>
            <w:tcW w:w="6625" w:type="dxa"/>
            <w:tcBorders>
              <w:bottom w:val="single" w:color="auto" w:sz="4" w:space="0"/>
              <w:right w:val="single" w:color="auto" w:sz="4" w:space="0"/>
            </w:tcBorders>
            <w:shd w:val="clear" w:color="auto" w:fill="auto"/>
            <w:noWrap w:val="0"/>
            <w:vAlign w:val="top"/>
          </w:tcPr>
          <w:p w14:paraId="30C1A367">
            <w:pPr>
              <w:spacing w:before="195" w:line="360" w:lineRule="auto"/>
              <w:ind w:left="128"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2"/>
                <w:sz w:val="24"/>
                <w:szCs w:val="24"/>
                <w:highlight w:val="none"/>
              </w:rPr>
              <w:t>响应文件未含有征集人不能接受的附加条件的；</w:t>
            </w:r>
          </w:p>
        </w:tc>
        <w:tc>
          <w:tcPr>
            <w:tcW w:w="482" w:type="dxa"/>
            <w:tcBorders>
              <w:left w:val="single" w:color="auto" w:sz="4" w:space="0"/>
              <w:bottom w:val="single" w:color="auto" w:sz="4" w:space="0"/>
            </w:tcBorders>
            <w:noWrap w:val="0"/>
            <w:vAlign w:val="top"/>
          </w:tcPr>
          <w:p w14:paraId="5132E090">
            <w:pPr>
              <w:shd w:val="clear" w:color="auto" w:fill="auto"/>
              <w:rPr>
                <w:rFonts w:hint="eastAsia" w:ascii="宋体" w:hAnsi="宋体" w:eastAsia="宋体" w:cs="宋体"/>
                <w:color w:val="auto"/>
                <w:szCs w:val="21"/>
                <w:highlight w:val="none"/>
              </w:rPr>
            </w:pPr>
          </w:p>
        </w:tc>
        <w:tc>
          <w:tcPr>
            <w:tcW w:w="884" w:type="dxa"/>
            <w:tcBorders>
              <w:bottom w:val="single" w:color="auto" w:sz="4" w:space="0"/>
              <w:right w:val="single" w:color="auto" w:sz="4" w:space="0"/>
            </w:tcBorders>
            <w:noWrap w:val="0"/>
            <w:vAlign w:val="top"/>
          </w:tcPr>
          <w:p w14:paraId="1F540A1A">
            <w:pPr>
              <w:shd w:val="clear" w:color="auto" w:fill="auto"/>
              <w:rPr>
                <w:rFonts w:hint="eastAsia" w:ascii="宋体" w:hAnsi="宋体" w:eastAsia="宋体" w:cs="宋体"/>
                <w:color w:val="auto"/>
                <w:szCs w:val="21"/>
                <w:highlight w:val="none"/>
              </w:rPr>
            </w:pPr>
          </w:p>
        </w:tc>
      </w:tr>
      <w:tr w14:paraId="2C577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 w:hRule="atLeast"/>
        </w:trPr>
        <w:tc>
          <w:tcPr>
            <w:tcW w:w="869" w:type="dxa"/>
            <w:vMerge w:val="continue"/>
            <w:tcBorders>
              <w:left w:val="single" w:color="auto" w:sz="4" w:space="0"/>
              <w:right w:val="single" w:color="auto" w:sz="4" w:space="0"/>
            </w:tcBorders>
            <w:noWrap w:val="0"/>
            <w:vAlign w:val="center"/>
          </w:tcPr>
          <w:p w14:paraId="2301EDF8">
            <w:pPr>
              <w:shd w:val="clear" w:color="auto" w:fill="auto"/>
              <w:rPr>
                <w:rFonts w:hint="eastAsia" w:ascii="宋体" w:hAnsi="宋体" w:eastAsia="宋体" w:cs="宋体"/>
                <w:color w:val="auto"/>
                <w:highlight w:val="none"/>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7A25296C">
            <w:pPr>
              <w:shd w:val="clear" w:color="auto" w:fill="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8</w:t>
            </w:r>
          </w:p>
        </w:tc>
        <w:tc>
          <w:tcPr>
            <w:tcW w:w="662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702E4BE">
            <w:pPr>
              <w:spacing w:before="134" w:line="360" w:lineRule="auto"/>
              <w:ind w:left="126"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2"/>
                <w:sz w:val="24"/>
                <w:szCs w:val="24"/>
                <w:highlight w:val="none"/>
              </w:rPr>
              <w:t>不属于征集文件规定的其他响应无效情形；</w:t>
            </w:r>
          </w:p>
        </w:tc>
        <w:tc>
          <w:tcPr>
            <w:tcW w:w="482" w:type="dxa"/>
            <w:tcBorders>
              <w:top w:val="single" w:color="auto" w:sz="4" w:space="0"/>
              <w:left w:val="single" w:color="auto" w:sz="4" w:space="0"/>
              <w:bottom w:val="single" w:color="auto" w:sz="4" w:space="0"/>
              <w:right w:val="single" w:color="auto" w:sz="4" w:space="0"/>
            </w:tcBorders>
            <w:noWrap w:val="0"/>
            <w:vAlign w:val="top"/>
          </w:tcPr>
          <w:p w14:paraId="50CA27B0">
            <w:pPr>
              <w:shd w:val="clear" w:color="auto" w:fill="auto"/>
              <w:rPr>
                <w:rFonts w:hint="eastAsia" w:ascii="宋体" w:hAnsi="宋体" w:eastAsia="宋体" w:cs="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top"/>
          </w:tcPr>
          <w:p w14:paraId="3098E126">
            <w:pPr>
              <w:shd w:val="clear" w:color="auto" w:fill="auto"/>
              <w:rPr>
                <w:rFonts w:hint="eastAsia" w:ascii="宋体" w:hAnsi="宋体" w:eastAsia="宋体" w:cs="宋体"/>
                <w:color w:val="auto"/>
                <w:szCs w:val="21"/>
                <w:highlight w:val="none"/>
              </w:rPr>
            </w:pPr>
          </w:p>
        </w:tc>
      </w:tr>
      <w:tr w14:paraId="763193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869" w:type="dxa"/>
            <w:vMerge w:val="continue"/>
            <w:tcBorders>
              <w:left w:val="single" w:color="auto" w:sz="4" w:space="0"/>
              <w:right w:val="single" w:color="auto" w:sz="4" w:space="0"/>
            </w:tcBorders>
            <w:noWrap w:val="0"/>
            <w:vAlign w:val="center"/>
          </w:tcPr>
          <w:p w14:paraId="4306539A">
            <w:pPr>
              <w:shd w:val="clear" w:color="auto" w:fill="auto"/>
              <w:rPr>
                <w:rFonts w:hint="eastAsia" w:ascii="宋体" w:hAnsi="宋体" w:eastAsia="宋体" w:cs="宋体"/>
                <w:color w:val="auto"/>
                <w:highlight w:val="none"/>
              </w:rPr>
            </w:pPr>
          </w:p>
        </w:tc>
        <w:tc>
          <w:tcPr>
            <w:tcW w:w="575" w:type="dxa"/>
            <w:tcBorders>
              <w:top w:val="single" w:color="auto" w:sz="4" w:space="0"/>
              <w:left w:val="single" w:color="auto" w:sz="4" w:space="0"/>
            </w:tcBorders>
            <w:noWrap w:val="0"/>
            <w:vAlign w:val="center"/>
          </w:tcPr>
          <w:p w14:paraId="51CFB070">
            <w:pPr>
              <w:shd w:val="clear" w:color="auto" w:fill="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9</w:t>
            </w:r>
          </w:p>
        </w:tc>
        <w:tc>
          <w:tcPr>
            <w:tcW w:w="6625" w:type="dxa"/>
            <w:tcBorders>
              <w:top w:val="single" w:color="auto" w:sz="4" w:space="0"/>
              <w:right w:val="single" w:color="auto" w:sz="4" w:space="0"/>
            </w:tcBorders>
            <w:shd w:val="clear" w:color="auto" w:fill="auto"/>
            <w:noWrap w:val="0"/>
            <w:vAlign w:val="top"/>
          </w:tcPr>
          <w:p w14:paraId="4CAF1EAC">
            <w:pPr>
              <w:spacing w:before="143" w:line="360" w:lineRule="auto"/>
              <w:ind w:left="126"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1"/>
                <w:sz w:val="24"/>
                <w:szCs w:val="24"/>
                <w:highlight w:val="none"/>
              </w:rPr>
              <w:t>符合法规和征集文件中规定的其他实质性要求的。</w:t>
            </w:r>
          </w:p>
        </w:tc>
        <w:tc>
          <w:tcPr>
            <w:tcW w:w="482" w:type="dxa"/>
            <w:tcBorders>
              <w:top w:val="single" w:color="auto" w:sz="4" w:space="0"/>
              <w:left w:val="single" w:color="auto" w:sz="4" w:space="0"/>
            </w:tcBorders>
            <w:noWrap w:val="0"/>
            <w:vAlign w:val="top"/>
          </w:tcPr>
          <w:p w14:paraId="13059128">
            <w:pPr>
              <w:shd w:val="clear" w:color="auto" w:fill="auto"/>
              <w:rPr>
                <w:rFonts w:hint="eastAsia" w:ascii="宋体" w:hAnsi="宋体" w:eastAsia="宋体" w:cs="宋体"/>
                <w:color w:val="auto"/>
                <w:szCs w:val="21"/>
                <w:highlight w:val="none"/>
              </w:rPr>
            </w:pPr>
          </w:p>
        </w:tc>
        <w:tc>
          <w:tcPr>
            <w:tcW w:w="884" w:type="dxa"/>
            <w:tcBorders>
              <w:top w:val="single" w:color="auto" w:sz="4" w:space="0"/>
              <w:right w:val="single" w:color="auto" w:sz="4" w:space="0"/>
            </w:tcBorders>
            <w:noWrap w:val="0"/>
            <w:vAlign w:val="top"/>
          </w:tcPr>
          <w:p w14:paraId="5C50038F">
            <w:pPr>
              <w:shd w:val="clear" w:color="auto" w:fill="auto"/>
              <w:rPr>
                <w:rFonts w:hint="eastAsia" w:ascii="宋体" w:hAnsi="宋体" w:eastAsia="宋体" w:cs="宋体"/>
                <w:color w:val="auto"/>
                <w:szCs w:val="21"/>
                <w:highlight w:val="none"/>
              </w:rPr>
            </w:pPr>
          </w:p>
        </w:tc>
      </w:tr>
      <w:tr w14:paraId="56D0D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3" w:hRule="atLeast"/>
        </w:trPr>
        <w:tc>
          <w:tcPr>
            <w:tcW w:w="869" w:type="dxa"/>
            <w:tcBorders>
              <w:left w:val="single" w:color="auto" w:sz="4" w:space="0"/>
              <w:bottom w:val="single" w:color="auto" w:sz="4" w:space="0"/>
              <w:right w:val="single" w:color="auto" w:sz="4" w:space="0"/>
            </w:tcBorders>
            <w:noWrap w:val="0"/>
            <w:vAlign w:val="center"/>
          </w:tcPr>
          <w:p w14:paraId="121CEAE9">
            <w:pPr>
              <w:shd w:val="clear" w:color="auto" w:fill="auto"/>
              <w:jc w:val="center"/>
              <w:rPr>
                <w:rFonts w:hint="eastAsia" w:ascii="宋体" w:hAnsi="宋体" w:eastAsia="宋体" w:cs="宋体"/>
                <w:color w:val="auto"/>
                <w:szCs w:val="21"/>
                <w:highlight w:val="none"/>
              </w:rPr>
            </w:pPr>
          </w:p>
        </w:tc>
        <w:tc>
          <w:tcPr>
            <w:tcW w:w="7200" w:type="dxa"/>
            <w:gridSpan w:val="2"/>
            <w:tcBorders>
              <w:left w:val="single" w:color="auto" w:sz="4" w:space="0"/>
              <w:bottom w:val="single" w:color="auto" w:sz="4" w:space="0"/>
              <w:right w:val="single" w:color="auto" w:sz="4" w:space="0"/>
            </w:tcBorders>
            <w:noWrap w:val="0"/>
            <w:vAlign w:val="top"/>
          </w:tcPr>
          <w:p w14:paraId="15AA10A6">
            <w:pPr>
              <w:spacing w:before="143" w:line="360" w:lineRule="auto"/>
              <w:ind w:left="126" w:leftChars="0"/>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结论：是否通过评审（须填写通过或不通过）</w:t>
            </w:r>
          </w:p>
          <w:p w14:paraId="11E13D19">
            <w:pPr>
              <w:spacing w:before="143" w:line="360" w:lineRule="auto"/>
              <w:ind w:left="126" w:leftChars="0"/>
              <w:rPr>
                <w:rFonts w:hint="eastAsia" w:ascii="宋体" w:hAnsi="宋体" w:eastAsia="宋体" w:cs="宋体"/>
                <w:color w:val="auto"/>
                <w:sz w:val="20"/>
                <w:szCs w:val="20"/>
                <w:highlight w:val="none"/>
              </w:rPr>
            </w:pPr>
            <w:r>
              <w:rPr>
                <w:rFonts w:hint="eastAsia" w:ascii="仿宋" w:hAnsi="仿宋" w:eastAsia="仿宋" w:cs="仿宋"/>
                <w:color w:val="auto"/>
                <w:spacing w:val="-1"/>
                <w:sz w:val="24"/>
                <w:szCs w:val="24"/>
                <w:highlight w:val="none"/>
              </w:rPr>
              <w:t>注：如有一项不合格，作废标处理。</w:t>
            </w:r>
          </w:p>
        </w:tc>
        <w:tc>
          <w:tcPr>
            <w:tcW w:w="1366" w:type="dxa"/>
            <w:gridSpan w:val="2"/>
            <w:tcBorders>
              <w:left w:val="single" w:color="auto" w:sz="4" w:space="0"/>
              <w:bottom w:val="single" w:color="auto" w:sz="4" w:space="0"/>
              <w:right w:val="single" w:color="auto" w:sz="4" w:space="0"/>
            </w:tcBorders>
            <w:noWrap w:val="0"/>
            <w:vAlign w:val="top"/>
          </w:tcPr>
          <w:p w14:paraId="04F8D020">
            <w:pPr>
              <w:shd w:val="clear" w:color="auto" w:fill="auto"/>
              <w:rPr>
                <w:rFonts w:hint="eastAsia" w:ascii="宋体" w:hAnsi="宋体" w:eastAsia="宋体" w:cs="宋体"/>
                <w:color w:val="auto"/>
                <w:szCs w:val="21"/>
                <w:highlight w:val="none"/>
              </w:rPr>
            </w:pPr>
          </w:p>
        </w:tc>
      </w:tr>
    </w:tbl>
    <w:p w14:paraId="33E7BC5B">
      <w:pPr>
        <w:spacing w:before="58" w:line="204" w:lineRule="auto"/>
        <w:ind w:left="3999"/>
        <w:rPr>
          <w:rFonts w:hint="eastAsia" w:ascii="仿宋" w:hAnsi="仿宋" w:eastAsia="仿宋" w:cs="仿宋"/>
          <w:b/>
          <w:bCs/>
          <w:color w:val="auto"/>
          <w:sz w:val="28"/>
          <w:szCs w:val="28"/>
          <w:highlight w:val="none"/>
        </w:rPr>
      </w:pPr>
      <w:r>
        <w:rPr>
          <w:rFonts w:hint="eastAsia" w:ascii="仿宋" w:hAnsi="仿宋" w:eastAsia="仿宋" w:cs="仿宋"/>
          <w:b/>
          <w:bCs/>
          <w:color w:val="auto"/>
          <w:spacing w:val="-4"/>
          <w:sz w:val="28"/>
          <w:szCs w:val="28"/>
          <w:highlight w:val="none"/>
        </w:rPr>
        <w:t>符合性审查表</w:t>
      </w:r>
    </w:p>
    <w:p w14:paraId="304F747F">
      <w:pPr>
        <w:spacing w:before="58" w:line="204" w:lineRule="auto"/>
        <w:ind w:left="3999"/>
        <w:rPr>
          <w:rFonts w:hint="eastAsia" w:ascii="仿宋" w:hAnsi="仿宋" w:eastAsia="仿宋" w:cs="仿宋"/>
          <w:b/>
          <w:bCs/>
          <w:color w:val="auto"/>
          <w:spacing w:val="-4"/>
          <w:sz w:val="28"/>
          <w:szCs w:val="28"/>
          <w:highlight w:val="none"/>
        </w:rPr>
      </w:pPr>
    </w:p>
    <w:p w14:paraId="41F5057B">
      <w:pPr>
        <w:spacing w:before="58" w:line="204" w:lineRule="auto"/>
        <w:ind w:left="3999"/>
        <w:rPr>
          <w:rFonts w:hint="eastAsia" w:ascii="仿宋" w:hAnsi="仿宋" w:eastAsia="仿宋" w:cs="仿宋"/>
          <w:b/>
          <w:bCs/>
          <w:color w:val="auto"/>
          <w:spacing w:val="-4"/>
          <w:sz w:val="28"/>
          <w:szCs w:val="28"/>
          <w:highlight w:val="none"/>
        </w:rPr>
      </w:pPr>
    </w:p>
    <w:p w14:paraId="5BD226AD">
      <w:pPr>
        <w:spacing w:before="52" w:line="219" w:lineRule="auto"/>
        <w:ind w:left="152"/>
        <w:outlineLvl w:val="1"/>
        <w:rPr>
          <w:rFonts w:hint="eastAsia" w:ascii="仿宋" w:hAnsi="仿宋" w:eastAsia="仿宋" w:cs="仿宋"/>
          <w:color w:val="auto"/>
          <w:spacing w:val="8"/>
          <w:sz w:val="22"/>
          <w:szCs w:val="22"/>
          <w:highlight w:val="none"/>
        </w:rPr>
      </w:pPr>
    </w:p>
    <w:p w14:paraId="7425B674">
      <w:pPr>
        <w:spacing w:before="52" w:line="219" w:lineRule="auto"/>
        <w:ind w:left="152"/>
        <w:outlineLvl w:val="1"/>
        <w:rPr>
          <w:rFonts w:hint="eastAsia" w:ascii="仿宋" w:hAnsi="仿宋" w:eastAsia="仿宋" w:cs="仿宋"/>
          <w:color w:val="auto"/>
          <w:spacing w:val="8"/>
          <w:sz w:val="22"/>
          <w:szCs w:val="22"/>
          <w:highlight w:val="none"/>
        </w:rPr>
      </w:pPr>
    </w:p>
    <w:p w14:paraId="089524DC">
      <w:pPr>
        <w:spacing w:line="219" w:lineRule="auto"/>
        <w:rPr>
          <w:rFonts w:hint="eastAsia" w:ascii="仿宋" w:hAnsi="仿宋" w:eastAsia="仿宋" w:cs="仿宋"/>
          <w:color w:val="auto"/>
          <w:sz w:val="22"/>
          <w:szCs w:val="22"/>
          <w:highlight w:val="none"/>
        </w:rPr>
        <w:sectPr>
          <w:footerReference r:id="rId12" w:type="default"/>
          <w:pgSz w:w="11905" w:h="16838"/>
          <w:pgMar w:top="1020" w:right="1134" w:bottom="1020" w:left="1134" w:header="0" w:footer="573" w:gutter="0"/>
          <w:pgNumType w:fmt="decimal"/>
          <w:cols w:space="0" w:num="1"/>
          <w:rtlGutter w:val="0"/>
          <w:docGrid w:linePitch="0" w:charSpace="0"/>
        </w:sectPr>
      </w:pPr>
    </w:p>
    <w:p w14:paraId="7634DD06">
      <w:pPr>
        <w:jc w:val="center"/>
        <w:rPr>
          <w:rFonts w:hint="eastAsia" w:ascii="仿宋" w:hAnsi="仿宋" w:eastAsia="仿宋" w:cs="仿宋"/>
          <w:b/>
          <w:bCs/>
          <w:color w:val="auto"/>
          <w:spacing w:val="-19"/>
          <w:w w:val="98"/>
          <w:position w:val="-2"/>
          <w:sz w:val="35"/>
          <w:szCs w:val="35"/>
          <w:highlight w:val="none"/>
        </w:rPr>
      </w:pPr>
      <w:r>
        <w:rPr>
          <w:rFonts w:hint="eastAsia" w:ascii="仿宋" w:hAnsi="仿宋" w:eastAsia="仿宋" w:cs="仿宋"/>
          <w:b/>
          <w:bCs/>
          <w:color w:val="auto"/>
          <w:spacing w:val="-19"/>
          <w:w w:val="98"/>
          <w:position w:val="-2"/>
          <w:sz w:val="35"/>
          <w:szCs w:val="35"/>
          <w:highlight w:val="none"/>
        </w:rPr>
        <w:t>评审因素和指标</w:t>
      </w:r>
    </w:p>
    <w:p w14:paraId="6016D512">
      <w:pPr>
        <w:pStyle w:val="4"/>
        <w:rPr>
          <w:rFonts w:hint="eastAsia" w:ascii="仿宋" w:hAnsi="仿宋" w:eastAsia="仿宋" w:cs="仿宋"/>
          <w:b/>
          <w:bCs/>
          <w:color w:val="auto"/>
          <w:spacing w:val="-19"/>
          <w:w w:val="98"/>
          <w:position w:val="-2"/>
          <w:sz w:val="35"/>
          <w:szCs w:val="35"/>
          <w:highlight w:val="none"/>
        </w:rPr>
      </w:pPr>
    </w:p>
    <w:p w14:paraId="6ED39682">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标项1：</w:t>
      </w:r>
    </w:p>
    <w:p w14:paraId="32119DF3">
      <w:pPr>
        <w:pStyle w:val="4"/>
        <w:rPr>
          <w:rFonts w:hint="eastAsia"/>
          <w:color w:val="auto"/>
          <w:highlight w:val="none"/>
          <w:lang w:val="en-US" w:eastAsia="zh-CN"/>
        </w:rPr>
      </w:pPr>
    </w:p>
    <w:tbl>
      <w:tblPr>
        <w:tblStyle w:val="20"/>
        <w:tblW w:w="99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0"/>
        <w:gridCol w:w="1263"/>
        <w:gridCol w:w="711"/>
        <w:gridCol w:w="6968"/>
        <w:gridCol w:w="433"/>
      </w:tblGrid>
      <w:tr w14:paraId="2C534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jc w:val="center"/>
        </w:trPr>
        <w:tc>
          <w:tcPr>
            <w:tcW w:w="530" w:type="dxa"/>
            <w:vAlign w:val="center"/>
          </w:tcPr>
          <w:p w14:paraId="62B59F07">
            <w:pPr>
              <w:pStyle w:val="21"/>
              <w:spacing w:before="109" w:line="210" w:lineRule="auto"/>
              <w:jc w:val="center"/>
              <w:outlineLvl w:val="1"/>
              <w:rPr>
                <w:rFonts w:hint="eastAsia" w:eastAsia="宋体"/>
                <w:color w:val="auto"/>
                <w:sz w:val="24"/>
                <w:szCs w:val="24"/>
                <w:highlight w:val="none"/>
                <w:lang w:val="en-US" w:eastAsia="zh-CN"/>
              </w:rPr>
            </w:pPr>
            <w:r>
              <w:rPr>
                <w:rFonts w:hint="eastAsia" w:ascii="仿宋" w:hAnsi="仿宋" w:eastAsia="仿宋" w:cs="仿宋"/>
                <w:color w:val="auto"/>
                <w:sz w:val="22"/>
                <w:szCs w:val="22"/>
                <w:highlight w:val="none"/>
                <w:lang w:val="en-US" w:eastAsia="zh-CN"/>
              </w:rPr>
              <w:t>序号</w:t>
            </w:r>
          </w:p>
        </w:tc>
        <w:tc>
          <w:tcPr>
            <w:tcW w:w="1263" w:type="dxa"/>
            <w:vAlign w:val="center"/>
          </w:tcPr>
          <w:p w14:paraId="620E94EC">
            <w:pPr>
              <w:pStyle w:val="21"/>
              <w:spacing w:before="109" w:line="210" w:lineRule="auto"/>
              <w:jc w:val="center"/>
              <w:outlineLvl w:val="1"/>
              <w:rPr>
                <w:color w:val="auto"/>
                <w:sz w:val="24"/>
                <w:szCs w:val="24"/>
                <w:highlight w:val="none"/>
              </w:rPr>
            </w:pPr>
            <w:r>
              <w:rPr>
                <w:rFonts w:hint="eastAsia" w:ascii="仿宋" w:hAnsi="仿宋" w:eastAsia="仿宋" w:cs="仿宋"/>
                <w:color w:val="auto"/>
                <w:sz w:val="22"/>
                <w:szCs w:val="22"/>
                <w:highlight w:val="none"/>
                <w:lang w:val="en-US" w:eastAsia="zh-CN"/>
              </w:rPr>
              <w:t>评分因素</w:t>
            </w:r>
          </w:p>
        </w:tc>
        <w:tc>
          <w:tcPr>
            <w:tcW w:w="711" w:type="dxa"/>
            <w:vAlign w:val="center"/>
          </w:tcPr>
          <w:p w14:paraId="521AF933">
            <w:pPr>
              <w:pStyle w:val="21"/>
              <w:spacing w:before="109" w:line="210" w:lineRule="auto"/>
              <w:jc w:val="center"/>
              <w:outlineLvl w:val="1"/>
              <w:rPr>
                <w:color w:val="auto"/>
                <w:sz w:val="24"/>
                <w:szCs w:val="24"/>
                <w:highlight w:val="none"/>
              </w:rPr>
            </w:pPr>
            <w:r>
              <w:rPr>
                <w:rFonts w:hint="eastAsia" w:ascii="仿宋" w:hAnsi="仿宋" w:eastAsia="仿宋" w:cs="仿宋"/>
                <w:color w:val="auto"/>
                <w:sz w:val="22"/>
                <w:szCs w:val="22"/>
                <w:highlight w:val="none"/>
                <w:lang w:val="en-US" w:eastAsia="zh-CN"/>
              </w:rPr>
              <w:t>分值</w:t>
            </w:r>
          </w:p>
        </w:tc>
        <w:tc>
          <w:tcPr>
            <w:tcW w:w="6968" w:type="dxa"/>
            <w:vAlign w:val="center"/>
          </w:tcPr>
          <w:p w14:paraId="1D6C7CE2">
            <w:pPr>
              <w:pStyle w:val="21"/>
              <w:spacing w:before="109" w:line="210" w:lineRule="auto"/>
              <w:jc w:val="center"/>
              <w:outlineLvl w:val="1"/>
              <w:rPr>
                <w:color w:val="auto"/>
                <w:sz w:val="24"/>
                <w:szCs w:val="24"/>
                <w:highlight w:val="none"/>
              </w:rPr>
            </w:pPr>
            <w:r>
              <w:rPr>
                <w:rFonts w:hint="eastAsia" w:ascii="仿宋" w:hAnsi="仿宋" w:eastAsia="仿宋" w:cs="仿宋"/>
                <w:color w:val="auto"/>
                <w:sz w:val="22"/>
                <w:szCs w:val="22"/>
                <w:highlight w:val="none"/>
                <w:lang w:val="en-US" w:eastAsia="zh-CN"/>
              </w:rPr>
              <w:t>评分标准</w:t>
            </w:r>
          </w:p>
        </w:tc>
        <w:tc>
          <w:tcPr>
            <w:tcW w:w="433" w:type="dxa"/>
            <w:vAlign w:val="center"/>
          </w:tcPr>
          <w:p w14:paraId="78DBA523">
            <w:pPr>
              <w:pStyle w:val="21"/>
              <w:spacing w:before="109" w:line="210" w:lineRule="auto"/>
              <w:jc w:val="center"/>
              <w:outlineLvl w:val="1"/>
              <w:rPr>
                <w:rFonts w:hint="eastAsia" w:eastAsia="宋体"/>
                <w:color w:val="auto"/>
                <w:sz w:val="24"/>
                <w:szCs w:val="24"/>
                <w:highlight w:val="none"/>
                <w:lang w:val="en-US" w:eastAsia="zh-CN"/>
              </w:rPr>
            </w:pPr>
            <w:r>
              <w:rPr>
                <w:rFonts w:hint="eastAsia" w:ascii="仿宋" w:hAnsi="仿宋" w:eastAsia="仿宋" w:cs="仿宋"/>
                <w:color w:val="auto"/>
                <w:sz w:val="22"/>
                <w:szCs w:val="22"/>
                <w:highlight w:val="none"/>
                <w:lang w:val="en-US" w:eastAsia="zh-CN"/>
              </w:rPr>
              <w:t>备注</w:t>
            </w:r>
          </w:p>
        </w:tc>
      </w:tr>
      <w:tr w14:paraId="66414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jc w:val="center"/>
        </w:trPr>
        <w:tc>
          <w:tcPr>
            <w:tcW w:w="530" w:type="dxa"/>
            <w:vAlign w:val="center"/>
          </w:tcPr>
          <w:p w14:paraId="324A072A">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63" w:type="dxa"/>
            <w:vAlign w:val="center"/>
          </w:tcPr>
          <w:p w14:paraId="21231EB3">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报价部</w:t>
            </w:r>
            <w:r>
              <w:rPr>
                <w:rFonts w:hint="eastAsia" w:ascii="仿宋" w:hAnsi="仿宋" w:eastAsia="仿宋" w:cs="仿宋"/>
                <w:color w:val="auto"/>
                <w:sz w:val="21"/>
                <w:szCs w:val="21"/>
                <w:highlight w:val="none"/>
              </w:rPr>
              <w:t>分</w:t>
            </w:r>
          </w:p>
        </w:tc>
        <w:tc>
          <w:tcPr>
            <w:tcW w:w="711" w:type="dxa"/>
            <w:vAlign w:val="center"/>
          </w:tcPr>
          <w:p w14:paraId="7BFD236F">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30分</w:t>
            </w:r>
          </w:p>
        </w:tc>
        <w:tc>
          <w:tcPr>
            <w:tcW w:w="6968" w:type="dxa"/>
            <w:vAlign w:val="center"/>
          </w:tcPr>
          <w:p w14:paraId="23D16699">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采用低价优先法计算，即满足招标文件要求且投标下浮率最高的投标报价为评标基准下浮率，其价格分为满分。</w:t>
            </w:r>
          </w:p>
          <w:p w14:paraId="2F3BE6FE">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其他投标人的价格分统一按照下列公式计算：投标报价（下浮率）得分=（投标下浮率/基准下浮率） ×价格权值（30%） ×100</w:t>
            </w:r>
          </w:p>
        </w:tc>
        <w:tc>
          <w:tcPr>
            <w:tcW w:w="433" w:type="dxa"/>
            <w:vAlign w:val="top"/>
          </w:tcPr>
          <w:p w14:paraId="784C1C03">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 w:hAnsi="仿宋" w:eastAsia="仿宋" w:cs="仿宋"/>
                <w:color w:val="auto"/>
                <w:sz w:val="18"/>
                <w:szCs w:val="18"/>
                <w:highlight w:val="none"/>
              </w:rPr>
            </w:pPr>
          </w:p>
        </w:tc>
      </w:tr>
      <w:tr w14:paraId="4FD03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jc w:val="center"/>
        </w:trPr>
        <w:tc>
          <w:tcPr>
            <w:tcW w:w="530" w:type="dxa"/>
            <w:vAlign w:val="center"/>
          </w:tcPr>
          <w:p w14:paraId="5E86A9D3">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63" w:type="dxa"/>
            <w:vAlign w:val="center"/>
          </w:tcPr>
          <w:p w14:paraId="1734B75B">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项目管理</w:t>
            </w:r>
          </w:p>
          <w:p w14:paraId="768455D4">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方案</w:t>
            </w:r>
          </w:p>
        </w:tc>
        <w:tc>
          <w:tcPr>
            <w:tcW w:w="711" w:type="dxa"/>
            <w:vAlign w:val="center"/>
          </w:tcPr>
          <w:p w14:paraId="2D809B83">
            <w:pPr>
              <w:pStyle w:val="21"/>
              <w:keepNext w:val="0"/>
              <w:keepLines w:val="0"/>
              <w:pageBreakBefore w:val="0"/>
              <w:widowControl/>
              <w:kinsoku w:val="0"/>
              <w:wordWrap/>
              <w:overflowPunct/>
              <w:topLinePunct w:val="0"/>
              <w:autoSpaceDE w:val="0"/>
              <w:autoSpaceDN w:val="0"/>
              <w:bidi w:val="0"/>
              <w:adjustRightInd w:val="0"/>
              <w:snapToGrid w:val="0"/>
              <w:spacing w:before="74" w:line="26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10分</w:t>
            </w:r>
          </w:p>
        </w:tc>
        <w:tc>
          <w:tcPr>
            <w:tcW w:w="6968" w:type="dxa"/>
            <w:vAlign w:val="center"/>
          </w:tcPr>
          <w:p w14:paraId="7AD0C542">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1、制度内容完整、科学合理、有针对本项目的具体描述，规范及制度非常细致、全面、完善能够保证本项目采购后的所有技术服务要求得10分；</w:t>
            </w:r>
          </w:p>
          <w:p w14:paraId="14EAAB0F">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2、制度内容完整，但是缺乏针对本项目采购需求的具体描述，可以满足采购需求的，得5分；</w:t>
            </w:r>
          </w:p>
          <w:p w14:paraId="4BE4AAB7">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3、制度内容不完整，缺乏针对性的，得2分；未提供不得分</w:t>
            </w:r>
            <w:r>
              <w:rPr>
                <w:rFonts w:hint="eastAsia" w:ascii="仿宋" w:hAnsi="仿宋" w:eastAsia="仿宋" w:cs="仿宋"/>
                <w:color w:val="auto"/>
                <w:spacing w:val="-1"/>
                <w:sz w:val="21"/>
                <w:szCs w:val="21"/>
                <w:highlight w:val="none"/>
                <w:lang w:eastAsia="zh-CN"/>
              </w:rPr>
              <w:t>。</w:t>
            </w:r>
          </w:p>
        </w:tc>
        <w:tc>
          <w:tcPr>
            <w:tcW w:w="433" w:type="dxa"/>
            <w:vAlign w:val="top"/>
          </w:tcPr>
          <w:p w14:paraId="07F9D8D1">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 w:hAnsi="仿宋" w:eastAsia="仿宋" w:cs="仿宋"/>
                <w:color w:val="auto"/>
                <w:sz w:val="18"/>
                <w:szCs w:val="18"/>
                <w:highlight w:val="none"/>
              </w:rPr>
            </w:pPr>
          </w:p>
        </w:tc>
      </w:tr>
      <w:tr w14:paraId="619AF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 w:hRule="atLeast"/>
          <w:jc w:val="center"/>
        </w:trPr>
        <w:tc>
          <w:tcPr>
            <w:tcW w:w="530" w:type="dxa"/>
            <w:vAlign w:val="center"/>
          </w:tcPr>
          <w:p w14:paraId="1449C155">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63" w:type="dxa"/>
            <w:vAlign w:val="center"/>
          </w:tcPr>
          <w:p w14:paraId="59EE44F2">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质量保</w:t>
            </w:r>
          </w:p>
          <w:p w14:paraId="5A9CEE5F">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证措施</w:t>
            </w:r>
          </w:p>
        </w:tc>
        <w:tc>
          <w:tcPr>
            <w:tcW w:w="711" w:type="dxa"/>
            <w:vAlign w:val="center"/>
          </w:tcPr>
          <w:p w14:paraId="10F99A1D">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10分</w:t>
            </w:r>
          </w:p>
        </w:tc>
        <w:tc>
          <w:tcPr>
            <w:tcW w:w="6968" w:type="dxa"/>
            <w:vAlign w:val="center"/>
          </w:tcPr>
          <w:p w14:paraId="7B47FC22">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1</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质量控制方案内容全面详细、具体、合理、针对性强得10分；</w:t>
            </w:r>
          </w:p>
          <w:p w14:paraId="28BCCF93">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2、质量控制方案内容较全面、较具体、较合理、针对性较强得5分；</w:t>
            </w:r>
          </w:p>
          <w:p w14:paraId="7B47BC53">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3、质量控制方案内容不够全面、不够详细、不够具体、不够合理,针对性有所欠缺得2分；未提供的不得分。</w:t>
            </w:r>
          </w:p>
        </w:tc>
        <w:tc>
          <w:tcPr>
            <w:tcW w:w="433" w:type="dxa"/>
            <w:vAlign w:val="top"/>
          </w:tcPr>
          <w:p w14:paraId="478E5D40">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 w:hAnsi="仿宋" w:eastAsia="仿宋" w:cs="仿宋"/>
                <w:color w:val="auto"/>
                <w:sz w:val="18"/>
                <w:szCs w:val="18"/>
                <w:highlight w:val="none"/>
              </w:rPr>
            </w:pPr>
          </w:p>
        </w:tc>
      </w:tr>
      <w:tr w14:paraId="539BE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7" w:hRule="atLeast"/>
          <w:jc w:val="center"/>
        </w:trPr>
        <w:tc>
          <w:tcPr>
            <w:tcW w:w="530" w:type="dxa"/>
            <w:vAlign w:val="center"/>
          </w:tcPr>
          <w:p w14:paraId="42C0F6A6">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4</w:t>
            </w:r>
          </w:p>
        </w:tc>
        <w:tc>
          <w:tcPr>
            <w:tcW w:w="1263" w:type="dxa"/>
            <w:vAlign w:val="center"/>
          </w:tcPr>
          <w:p w14:paraId="386F711D">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服务</w:t>
            </w:r>
          </w:p>
          <w:p w14:paraId="71C88F3B">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方案</w:t>
            </w:r>
          </w:p>
        </w:tc>
        <w:tc>
          <w:tcPr>
            <w:tcW w:w="711" w:type="dxa"/>
            <w:vAlign w:val="center"/>
          </w:tcPr>
          <w:p w14:paraId="7E085682">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10分</w:t>
            </w:r>
          </w:p>
        </w:tc>
        <w:tc>
          <w:tcPr>
            <w:tcW w:w="6968" w:type="dxa"/>
            <w:vAlign w:val="center"/>
          </w:tcPr>
          <w:p w14:paraId="2DE9F91C">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根据本项目实际需求提供服务方案：</w:t>
            </w:r>
          </w:p>
          <w:p w14:paraId="7334517A">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rPr>
              <w:t>1、服务方案及承诺全面、合理、科学、可行性强得10分</w:t>
            </w:r>
            <w:r>
              <w:rPr>
                <w:rFonts w:hint="eastAsia" w:ascii="仿宋" w:hAnsi="仿宋" w:eastAsia="仿宋" w:cs="仿宋"/>
                <w:color w:val="auto"/>
                <w:spacing w:val="-1"/>
                <w:sz w:val="21"/>
                <w:szCs w:val="21"/>
                <w:highlight w:val="none"/>
                <w:lang w:eastAsia="zh-CN"/>
              </w:rPr>
              <w:t>；</w:t>
            </w:r>
          </w:p>
          <w:p w14:paraId="54E12956">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rPr>
              <w:t>2、服务方案及承诺较全面、比较合理、科学、但可行得5分</w:t>
            </w:r>
            <w:r>
              <w:rPr>
                <w:rFonts w:hint="eastAsia" w:ascii="仿宋" w:hAnsi="仿宋" w:eastAsia="仿宋" w:cs="仿宋"/>
                <w:color w:val="auto"/>
                <w:spacing w:val="-1"/>
                <w:sz w:val="21"/>
                <w:szCs w:val="21"/>
                <w:highlight w:val="none"/>
                <w:lang w:eastAsia="zh-CN"/>
              </w:rPr>
              <w:t>；</w:t>
            </w:r>
          </w:p>
          <w:p w14:paraId="1CBF6746">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rPr>
              <w:t>3、服务方案及承诺不够全面、不合理、科学、可行性差得1分</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lang w:val="en-US" w:eastAsia="zh-CN"/>
              </w:rPr>
              <w:t>未</w:t>
            </w:r>
            <w:r>
              <w:rPr>
                <w:rFonts w:hint="eastAsia" w:ascii="仿宋" w:hAnsi="仿宋" w:eastAsia="仿宋" w:cs="仿宋"/>
                <w:color w:val="auto"/>
                <w:spacing w:val="-1"/>
                <w:sz w:val="21"/>
                <w:szCs w:val="21"/>
                <w:highlight w:val="none"/>
              </w:rPr>
              <w:t>提供不得分</w:t>
            </w:r>
            <w:r>
              <w:rPr>
                <w:rFonts w:hint="eastAsia" w:ascii="仿宋" w:hAnsi="仿宋" w:eastAsia="仿宋" w:cs="仿宋"/>
                <w:color w:val="auto"/>
                <w:spacing w:val="-1"/>
                <w:sz w:val="21"/>
                <w:szCs w:val="21"/>
                <w:highlight w:val="none"/>
                <w:lang w:eastAsia="zh-CN"/>
              </w:rPr>
              <w:t>。</w:t>
            </w:r>
          </w:p>
        </w:tc>
        <w:tc>
          <w:tcPr>
            <w:tcW w:w="433" w:type="dxa"/>
            <w:vAlign w:val="top"/>
          </w:tcPr>
          <w:p w14:paraId="2277B907">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 w:hAnsi="仿宋" w:eastAsia="仿宋" w:cs="仿宋"/>
                <w:color w:val="auto"/>
                <w:sz w:val="18"/>
                <w:szCs w:val="18"/>
                <w:highlight w:val="none"/>
              </w:rPr>
            </w:pPr>
          </w:p>
        </w:tc>
      </w:tr>
      <w:tr w14:paraId="4C8A6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6" w:hRule="atLeast"/>
          <w:jc w:val="center"/>
        </w:trPr>
        <w:tc>
          <w:tcPr>
            <w:tcW w:w="530" w:type="dxa"/>
            <w:vAlign w:val="center"/>
          </w:tcPr>
          <w:p w14:paraId="36FA6481">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5</w:t>
            </w:r>
          </w:p>
        </w:tc>
        <w:tc>
          <w:tcPr>
            <w:tcW w:w="1263" w:type="dxa"/>
            <w:vAlign w:val="center"/>
          </w:tcPr>
          <w:p w14:paraId="5B46C47C">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成果</w:t>
            </w:r>
          </w:p>
          <w:p w14:paraId="26E9B4E0">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提交</w:t>
            </w:r>
          </w:p>
        </w:tc>
        <w:tc>
          <w:tcPr>
            <w:tcW w:w="711" w:type="dxa"/>
            <w:vAlign w:val="center"/>
          </w:tcPr>
          <w:p w14:paraId="372EB9A0">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10分</w:t>
            </w:r>
          </w:p>
        </w:tc>
        <w:tc>
          <w:tcPr>
            <w:tcW w:w="6968" w:type="dxa"/>
            <w:vAlign w:val="center"/>
          </w:tcPr>
          <w:p w14:paraId="32E4F1B9">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lang w:val="en-US" w:eastAsia="zh-CN"/>
              </w:rPr>
              <w:t>测绘图纸</w:t>
            </w:r>
            <w:r>
              <w:rPr>
                <w:rFonts w:hint="eastAsia" w:ascii="仿宋" w:hAnsi="仿宋" w:eastAsia="仿宋" w:cs="仿宋"/>
                <w:color w:val="auto"/>
                <w:spacing w:val="-1"/>
                <w:sz w:val="21"/>
                <w:szCs w:val="21"/>
                <w:highlight w:val="none"/>
              </w:rPr>
              <w:t>周期保证措施</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以评估各阶段的组织安排科学合理，能满足计划要求，切实可行进行，由评委根据投标文件情况进行打分；优秀的10分、良的6分、差的2分。</w:t>
            </w:r>
            <w:r>
              <w:rPr>
                <w:rFonts w:hint="eastAsia" w:ascii="仿宋" w:hAnsi="仿宋" w:eastAsia="仿宋" w:cs="仿宋"/>
                <w:color w:val="auto"/>
                <w:spacing w:val="-1"/>
                <w:sz w:val="21"/>
                <w:szCs w:val="21"/>
                <w:highlight w:val="none"/>
                <w:lang w:val="en-US" w:eastAsia="zh-CN"/>
              </w:rPr>
              <w:t>未</w:t>
            </w:r>
            <w:r>
              <w:rPr>
                <w:rFonts w:hint="eastAsia" w:ascii="仿宋" w:hAnsi="仿宋" w:eastAsia="仿宋" w:cs="仿宋"/>
                <w:color w:val="auto"/>
                <w:spacing w:val="-1"/>
                <w:sz w:val="21"/>
                <w:szCs w:val="21"/>
                <w:highlight w:val="none"/>
              </w:rPr>
              <w:t>提供不得分</w:t>
            </w:r>
            <w:r>
              <w:rPr>
                <w:rFonts w:hint="eastAsia" w:ascii="仿宋" w:hAnsi="仿宋" w:eastAsia="仿宋" w:cs="仿宋"/>
                <w:color w:val="auto"/>
                <w:spacing w:val="-1"/>
                <w:sz w:val="21"/>
                <w:szCs w:val="21"/>
                <w:highlight w:val="none"/>
                <w:lang w:eastAsia="zh-CN"/>
              </w:rPr>
              <w:t>。</w:t>
            </w:r>
          </w:p>
        </w:tc>
        <w:tc>
          <w:tcPr>
            <w:tcW w:w="433" w:type="dxa"/>
            <w:vAlign w:val="top"/>
          </w:tcPr>
          <w:p w14:paraId="35554D6B">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 w:hAnsi="仿宋" w:eastAsia="仿宋" w:cs="仿宋"/>
                <w:color w:val="auto"/>
                <w:sz w:val="18"/>
                <w:szCs w:val="18"/>
                <w:highlight w:val="none"/>
              </w:rPr>
            </w:pPr>
          </w:p>
        </w:tc>
      </w:tr>
      <w:tr w14:paraId="3A5B3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jc w:val="center"/>
        </w:trPr>
        <w:tc>
          <w:tcPr>
            <w:tcW w:w="530" w:type="dxa"/>
            <w:vAlign w:val="center"/>
          </w:tcPr>
          <w:p w14:paraId="1641CD29">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lang w:val="en-US" w:eastAsia="zh-CN"/>
              </w:rPr>
            </w:pPr>
            <w:r>
              <w:rPr>
                <w:rFonts w:hint="eastAsia" w:ascii="仿宋" w:hAnsi="仿宋" w:eastAsia="仿宋" w:cs="仿宋"/>
                <w:color w:val="auto"/>
                <w:spacing w:val="5"/>
                <w:sz w:val="21"/>
                <w:szCs w:val="21"/>
                <w:highlight w:val="none"/>
                <w:lang w:val="en-US" w:eastAsia="zh-CN"/>
              </w:rPr>
              <w:t>6</w:t>
            </w:r>
          </w:p>
        </w:tc>
        <w:tc>
          <w:tcPr>
            <w:tcW w:w="1263" w:type="dxa"/>
            <w:vAlign w:val="center"/>
          </w:tcPr>
          <w:p w14:paraId="427D96FB">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人员情况</w:t>
            </w:r>
          </w:p>
        </w:tc>
        <w:tc>
          <w:tcPr>
            <w:tcW w:w="711" w:type="dxa"/>
            <w:vAlign w:val="center"/>
          </w:tcPr>
          <w:p w14:paraId="223C4BE6">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lang w:val="en-US" w:eastAsia="zh-CN"/>
              </w:rPr>
            </w:pPr>
            <w:r>
              <w:rPr>
                <w:rFonts w:hint="eastAsia" w:ascii="仿宋" w:hAnsi="仿宋" w:eastAsia="仿宋" w:cs="仿宋"/>
                <w:color w:val="auto"/>
                <w:spacing w:val="5"/>
                <w:sz w:val="21"/>
                <w:szCs w:val="21"/>
                <w:highlight w:val="none"/>
              </w:rPr>
              <w:t>1</w:t>
            </w:r>
            <w:r>
              <w:rPr>
                <w:rFonts w:hint="eastAsia" w:ascii="仿宋" w:hAnsi="仿宋" w:eastAsia="仿宋" w:cs="仿宋"/>
                <w:color w:val="auto"/>
                <w:spacing w:val="5"/>
                <w:sz w:val="21"/>
                <w:szCs w:val="21"/>
                <w:highlight w:val="none"/>
                <w:lang w:val="en-US" w:eastAsia="zh-CN"/>
              </w:rPr>
              <w:t>2分</w:t>
            </w:r>
          </w:p>
        </w:tc>
        <w:tc>
          <w:tcPr>
            <w:tcW w:w="6968" w:type="dxa"/>
            <w:vAlign w:val="center"/>
          </w:tcPr>
          <w:p w14:paraId="1469426B">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lang w:val="en-US" w:eastAsia="zh-CN"/>
              </w:rPr>
              <w:t>1、</w:t>
            </w:r>
            <w:r>
              <w:rPr>
                <w:rFonts w:hint="eastAsia" w:ascii="仿宋" w:hAnsi="仿宋" w:eastAsia="仿宋" w:cs="仿宋"/>
                <w:color w:val="auto"/>
                <w:spacing w:val="-1"/>
                <w:sz w:val="21"/>
                <w:szCs w:val="21"/>
                <w:highlight w:val="none"/>
              </w:rPr>
              <w:t>投标人须提供本项目服务团队人员表（附项目服务人员表包括项目负责人及其它人员信息、联系电话、近三月社保证明）每提供一人</w:t>
            </w:r>
            <w:r>
              <w:rPr>
                <w:rFonts w:hint="eastAsia" w:ascii="仿宋" w:hAnsi="仿宋" w:eastAsia="仿宋" w:cs="仿宋"/>
                <w:color w:val="auto"/>
                <w:spacing w:val="-1"/>
                <w:sz w:val="21"/>
                <w:szCs w:val="21"/>
                <w:highlight w:val="none"/>
                <w:lang w:val="en-US" w:eastAsia="zh-CN"/>
              </w:rPr>
              <w:t>得</w:t>
            </w:r>
            <w:r>
              <w:rPr>
                <w:rFonts w:hint="eastAsia" w:ascii="仿宋" w:hAnsi="仿宋" w:eastAsia="仿宋" w:cs="仿宋"/>
                <w:color w:val="auto"/>
                <w:spacing w:val="-1"/>
                <w:sz w:val="21"/>
                <w:szCs w:val="21"/>
                <w:highlight w:val="none"/>
              </w:rPr>
              <w:t>一分，共得</w:t>
            </w:r>
            <w:r>
              <w:rPr>
                <w:rFonts w:hint="eastAsia" w:ascii="仿宋" w:hAnsi="仿宋" w:eastAsia="仿宋" w:cs="仿宋"/>
                <w:color w:val="auto"/>
                <w:spacing w:val="-1"/>
                <w:sz w:val="21"/>
                <w:szCs w:val="21"/>
                <w:highlight w:val="none"/>
                <w:lang w:val="en-US" w:eastAsia="zh-CN"/>
              </w:rPr>
              <w:t>6</w:t>
            </w:r>
            <w:r>
              <w:rPr>
                <w:rFonts w:hint="eastAsia" w:ascii="仿宋" w:hAnsi="仿宋" w:eastAsia="仿宋" w:cs="仿宋"/>
                <w:color w:val="auto"/>
                <w:spacing w:val="-1"/>
                <w:sz w:val="21"/>
                <w:szCs w:val="21"/>
                <w:highlight w:val="none"/>
              </w:rPr>
              <w:t>分</w:t>
            </w:r>
            <w:r>
              <w:rPr>
                <w:rFonts w:hint="eastAsia" w:ascii="仿宋" w:hAnsi="仿宋" w:eastAsia="仿宋" w:cs="仿宋"/>
                <w:color w:val="auto"/>
                <w:spacing w:val="-1"/>
                <w:sz w:val="21"/>
                <w:szCs w:val="21"/>
                <w:highlight w:val="none"/>
                <w:lang w:eastAsia="zh-CN"/>
              </w:rPr>
              <w:t>。</w:t>
            </w:r>
          </w:p>
          <w:p w14:paraId="04403108">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lang w:val="en-US" w:eastAsia="zh-CN"/>
              </w:rPr>
              <w:t>2、</w:t>
            </w:r>
            <w:r>
              <w:rPr>
                <w:rFonts w:hint="eastAsia" w:ascii="仿宋" w:hAnsi="仿宋" w:eastAsia="仿宋" w:cs="仿宋"/>
                <w:color w:val="auto"/>
                <w:spacing w:val="-1"/>
                <w:sz w:val="21"/>
                <w:szCs w:val="21"/>
                <w:highlight w:val="none"/>
              </w:rPr>
              <w:t>负责人每提供一个业绩得1分，最多得</w:t>
            </w:r>
            <w:r>
              <w:rPr>
                <w:rFonts w:hint="eastAsia" w:ascii="仿宋" w:hAnsi="仿宋" w:eastAsia="仿宋" w:cs="仿宋"/>
                <w:color w:val="auto"/>
                <w:spacing w:val="-1"/>
                <w:sz w:val="21"/>
                <w:szCs w:val="21"/>
                <w:highlight w:val="none"/>
                <w:lang w:val="en-US" w:eastAsia="zh-CN"/>
              </w:rPr>
              <w:t>6</w:t>
            </w:r>
            <w:r>
              <w:rPr>
                <w:rFonts w:hint="eastAsia" w:ascii="仿宋" w:hAnsi="仿宋" w:eastAsia="仿宋" w:cs="仿宋"/>
                <w:color w:val="auto"/>
                <w:spacing w:val="-1"/>
                <w:sz w:val="21"/>
                <w:szCs w:val="21"/>
                <w:highlight w:val="none"/>
              </w:rPr>
              <w:t>分</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（需提供</w:t>
            </w:r>
            <w:r>
              <w:rPr>
                <w:rFonts w:hint="eastAsia" w:ascii="仿宋" w:hAnsi="仿宋" w:eastAsia="仿宋" w:cs="仿宋"/>
                <w:color w:val="auto"/>
                <w:spacing w:val="-1"/>
                <w:sz w:val="21"/>
                <w:szCs w:val="21"/>
                <w:highlight w:val="none"/>
                <w:lang w:val="en-US" w:eastAsia="zh-CN"/>
              </w:rPr>
              <w:t>测绘合同</w:t>
            </w:r>
            <w:r>
              <w:rPr>
                <w:rFonts w:hint="eastAsia" w:ascii="仿宋" w:hAnsi="仿宋" w:eastAsia="仿宋" w:cs="仿宋"/>
                <w:color w:val="auto"/>
                <w:spacing w:val="-1"/>
                <w:sz w:val="21"/>
                <w:szCs w:val="21"/>
                <w:highlight w:val="none"/>
              </w:rPr>
              <w:t>）</w:t>
            </w:r>
          </w:p>
        </w:tc>
        <w:tc>
          <w:tcPr>
            <w:tcW w:w="433" w:type="dxa"/>
            <w:vAlign w:val="top"/>
          </w:tcPr>
          <w:p w14:paraId="2C5DED50">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 w:hAnsi="仿宋" w:eastAsia="仿宋" w:cs="仿宋"/>
                <w:color w:val="auto"/>
                <w:sz w:val="18"/>
                <w:szCs w:val="18"/>
                <w:highlight w:val="none"/>
              </w:rPr>
            </w:pPr>
          </w:p>
        </w:tc>
      </w:tr>
      <w:tr w14:paraId="4DCE2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94" w:hRule="atLeast"/>
          <w:jc w:val="center"/>
        </w:trPr>
        <w:tc>
          <w:tcPr>
            <w:tcW w:w="530" w:type="dxa"/>
            <w:vAlign w:val="center"/>
          </w:tcPr>
          <w:p w14:paraId="59F44225">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lang w:val="en-US" w:eastAsia="zh-CN"/>
              </w:rPr>
            </w:pPr>
            <w:r>
              <w:rPr>
                <w:rFonts w:hint="eastAsia" w:ascii="仿宋" w:hAnsi="仿宋" w:eastAsia="仿宋" w:cs="仿宋"/>
                <w:color w:val="auto"/>
                <w:spacing w:val="5"/>
                <w:sz w:val="21"/>
                <w:szCs w:val="21"/>
                <w:highlight w:val="none"/>
                <w:lang w:val="en-US" w:eastAsia="zh-CN"/>
              </w:rPr>
              <w:t>7</w:t>
            </w:r>
          </w:p>
        </w:tc>
        <w:tc>
          <w:tcPr>
            <w:tcW w:w="1263" w:type="dxa"/>
            <w:vAlign w:val="center"/>
          </w:tcPr>
          <w:p w14:paraId="365E5D65">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lang w:val="en-US" w:eastAsia="en-US"/>
              </w:rPr>
            </w:pPr>
            <w:r>
              <w:rPr>
                <w:rFonts w:hint="eastAsia" w:ascii="仿宋" w:hAnsi="仿宋" w:eastAsia="仿宋" w:cs="仿宋"/>
                <w:color w:val="auto"/>
                <w:spacing w:val="5"/>
                <w:sz w:val="21"/>
                <w:szCs w:val="21"/>
                <w:highlight w:val="none"/>
                <w:lang w:val="en-US" w:eastAsia="en-US"/>
              </w:rPr>
              <w:t>投标人近三年业绩</w:t>
            </w:r>
          </w:p>
        </w:tc>
        <w:tc>
          <w:tcPr>
            <w:tcW w:w="711" w:type="dxa"/>
            <w:vAlign w:val="center"/>
          </w:tcPr>
          <w:p w14:paraId="2848E434">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outlineLvl w:val="1"/>
              <w:rPr>
                <w:rFonts w:hint="eastAsia" w:ascii="仿宋" w:hAnsi="仿宋" w:eastAsia="仿宋" w:cs="仿宋"/>
                <w:color w:val="auto"/>
                <w:spacing w:val="5"/>
                <w:sz w:val="21"/>
                <w:szCs w:val="21"/>
                <w:highlight w:val="none"/>
                <w:lang w:val="en-US" w:eastAsia="en-US"/>
              </w:rPr>
            </w:pPr>
            <w:r>
              <w:rPr>
                <w:rFonts w:hint="eastAsia" w:ascii="仿宋" w:hAnsi="仿宋" w:eastAsia="仿宋" w:cs="仿宋"/>
                <w:color w:val="auto"/>
                <w:spacing w:val="5"/>
                <w:sz w:val="21"/>
                <w:szCs w:val="21"/>
                <w:highlight w:val="none"/>
                <w:lang w:val="en-US" w:eastAsia="zh-CN"/>
              </w:rPr>
              <w:t>18</w:t>
            </w:r>
            <w:r>
              <w:rPr>
                <w:rFonts w:hint="eastAsia" w:ascii="仿宋" w:hAnsi="仿宋" w:eastAsia="仿宋" w:cs="仿宋"/>
                <w:color w:val="auto"/>
                <w:spacing w:val="5"/>
                <w:sz w:val="21"/>
                <w:szCs w:val="21"/>
                <w:highlight w:val="none"/>
                <w:lang w:val="en-US" w:eastAsia="en-US"/>
              </w:rPr>
              <w:t>分</w:t>
            </w:r>
          </w:p>
        </w:tc>
        <w:tc>
          <w:tcPr>
            <w:tcW w:w="6968" w:type="dxa"/>
            <w:vAlign w:val="center"/>
          </w:tcPr>
          <w:p w14:paraId="729F4186">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val="en-US" w:eastAsia="en-US"/>
              </w:rPr>
            </w:pPr>
            <w:r>
              <w:rPr>
                <w:rFonts w:hint="eastAsia" w:ascii="仿宋" w:hAnsi="仿宋" w:eastAsia="仿宋" w:cs="仿宋"/>
                <w:color w:val="auto"/>
                <w:spacing w:val="-1"/>
                <w:sz w:val="21"/>
                <w:szCs w:val="21"/>
                <w:highlight w:val="none"/>
                <w:lang w:val="en-US" w:eastAsia="en-US"/>
              </w:rPr>
              <w:t>投标单位近三年（投标截止日前三年）每提供一项业绩得</w:t>
            </w:r>
            <w:r>
              <w:rPr>
                <w:rFonts w:hint="eastAsia" w:ascii="仿宋" w:hAnsi="仿宋" w:eastAsia="仿宋" w:cs="仿宋"/>
                <w:color w:val="auto"/>
                <w:spacing w:val="-1"/>
                <w:sz w:val="21"/>
                <w:szCs w:val="21"/>
                <w:highlight w:val="none"/>
                <w:lang w:val="en-US" w:eastAsia="zh-CN"/>
              </w:rPr>
              <w:t>3</w:t>
            </w:r>
            <w:r>
              <w:rPr>
                <w:rFonts w:hint="eastAsia" w:ascii="仿宋" w:hAnsi="仿宋" w:eastAsia="仿宋" w:cs="仿宋"/>
                <w:color w:val="auto"/>
                <w:spacing w:val="-1"/>
                <w:sz w:val="21"/>
                <w:szCs w:val="21"/>
                <w:highlight w:val="none"/>
                <w:lang w:val="en-US" w:eastAsia="en-US"/>
              </w:rPr>
              <w:t>分，满分为</w:t>
            </w:r>
            <w:r>
              <w:rPr>
                <w:rFonts w:hint="eastAsia" w:ascii="仿宋" w:hAnsi="仿宋" w:eastAsia="仿宋" w:cs="仿宋"/>
                <w:color w:val="auto"/>
                <w:spacing w:val="-1"/>
                <w:sz w:val="21"/>
                <w:szCs w:val="21"/>
                <w:highlight w:val="none"/>
                <w:lang w:val="en-US" w:eastAsia="zh-CN"/>
              </w:rPr>
              <w:t>18</w:t>
            </w:r>
            <w:r>
              <w:rPr>
                <w:rFonts w:hint="eastAsia" w:ascii="仿宋" w:hAnsi="仿宋" w:eastAsia="仿宋" w:cs="仿宋"/>
                <w:color w:val="auto"/>
                <w:spacing w:val="-1"/>
                <w:sz w:val="21"/>
                <w:szCs w:val="21"/>
                <w:highlight w:val="none"/>
                <w:lang w:val="en-US" w:eastAsia="en-US"/>
              </w:rPr>
              <w:t>分。（业绩证明材料需提供</w:t>
            </w:r>
            <w:r>
              <w:rPr>
                <w:rFonts w:hint="eastAsia" w:ascii="仿宋" w:hAnsi="仿宋" w:eastAsia="仿宋" w:cs="仿宋"/>
                <w:color w:val="auto"/>
                <w:spacing w:val="-1"/>
                <w:sz w:val="21"/>
                <w:szCs w:val="21"/>
                <w:highlight w:val="none"/>
                <w:lang w:val="en-US" w:eastAsia="zh-CN"/>
              </w:rPr>
              <w:t>测绘合同、测绘图纸及草图</w:t>
            </w:r>
            <w:r>
              <w:rPr>
                <w:rFonts w:hint="eastAsia" w:ascii="仿宋" w:hAnsi="仿宋" w:eastAsia="仿宋" w:cs="仿宋"/>
                <w:color w:val="auto"/>
                <w:spacing w:val="-1"/>
                <w:sz w:val="21"/>
                <w:szCs w:val="21"/>
                <w:highlight w:val="none"/>
                <w:lang w:val="en-US" w:eastAsia="en-US"/>
              </w:rPr>
              <w:t>。）</w:t>
            </w:r>
          </w:p>
          <w:p w14:paraId="656102D5">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val="en-US" w:eastAsia="en-US"/>
              </w:rPr>
            </w:pPr>
            <w:r>
              <w:rPr>
                <w:rFonts w:hint="eastAsia" w:ascii="仿宋" w:hAnsi="仿宋" w:eastAsia="仿宋" w:cs="仿宋"/>
                <w:color w:val="auto"/>
                <w:spacing w:val="-1"/>
                <w:sz w:val="21"/>
                <w:szCs w:val="21"/>
                <w:highlight w:val="none"/>
                <w:lang w:val="en-US" w:eastAsia="en-US"/>
              </w:rPr>
              <w:t>以上材料均须复印件加盖供应商公章，业绩证明材料提供齐全视为有效业绩，未提供或提供不齐全视为无效业绩不得分。</w:t>
            </w:r>
          </w:p>
        </w:tc>
        <w:tc>
          <w:tcPr>
            <w:tcW w:w="433" w:type="dxa"/>
            <w:vAlign w:val="top"/>
          </w:tcPr>
          <w:p w14:paraId="742599E2">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 w:hAnsi="仿宋" w:eastAsia="仿宋" w:cs="仿宋"/>
                <w:color w:val="auto"/>
                <w:sz w:val="18"/>
                <w:szCs w:val="18"/>
                <w:highlight w:val="none"/>
              </w:rPr>
            </w:pPr>
          </w:p>
        </w:tc>
      </w:tr>
    </w:tbl>
    <w:p w14:paraId="73238654">
      <w:pPr>
        <w:rPr>
          <w:rFonts w:hint="eastAsia" w:ascii="仿宋" w:hAnsi="仿宋" w:eastAsia="仿宋" w:cs="仿宋"/>
          <w:b/>
          <w:bCs/>
          <w:color w:val="auto"/>
          <w:sz w:val="28"/>
          <w:szCs w:val="28"/>
          <w:highlight w:val="none"/>
          <w:lang w:val="en-US" w:eastAsia="zh-CN"/>
        </w:rPr>
      </w:pPr>
    </w:p>
    <w:p w14:paraId="79FE9BCB">
      <w:pPr>
        <w:pStyle w:val="11"/>
        <w:rPr>
          <w:rFonts w:hint="eastAsia"/>
          <w:color w:val="auto"/>
          <w:highlight w:val="none"/>
          <w:lang w:val="en-US" w:eastAsia="zh-CN"/>
        </w:rPr>
      </w:pPr>
    </w:p>
    <w:p w14:paraId="0A1019ED">
      <w:pPr>
        <w:rPr>
          <w:rFonts w:hint="default"/>
          <w:color w:val="auto"/>
          <w:highlight w:val="none"/>
          <w:lang w:val="en-US" w:eastAsia="zh-CN"/>
        </w:rPr>
      </w:pPr>
    </w:p>
    <w:p w14:paraId="156A5364">
      <w:pPr>
        <w:rPr>
          <w:rFonts w:hint="eastAsia" w:ascii="仿宋" w:hAnsi="仿宋" w:eastAsia="仿宋" w:cs="仿宋"/>
          <w:color w:val="auto"/>
          <w:sz w:val="21"/>
          <w:szCs w:val="21"/>
          <w:highlight w:val="none"/>
        </w:rPr>
      </w:pPr>
    </w:p>
    <w:p w14:paraId="16B1D032">
      <w:pPr>
        <w:pStyle w:val="4"/>
        <w:rPr>
          <w:rFonts w:hint="eastAsia" w:ascii="仿宋" w:hAnsi="仿宋" w:eastAsia="仿宋" w:cs="仿宋"/>
          <w:color w:val="auto"/>
          <w:sz w:val="21"/>
          <w:szCs w:val="21"/>
          <w:highlight w:val="none"/>
        </w:rPr>
      </w:pPr>
    </w:p>
    <w:p w14:paraId="6291B5A0">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标项2：</w:t>
      </w:r>
    </w:p>
    <w:p w14:paraId="40A7B4C3">
      <w:pPr>
        <w:pStyle w:val="4"/>
        <w:spacing w:before="64" w:line="225" w:lineRule="auto"/>
        <w:outlineLvl w:val="1"/>
        <w:rPr>
          <w:rFonts w:hint="eastAsia" w:eastAsia="宋体"/>
          <w:color w:val="auto"/>
          <w:sz w:val="31"/>
          <w:szCs w:val="31"/>
          <w:highlight w:val="none"/>
          <w:lang w:val="en-US" w:eastAsia="zh-CN"/>
        </w:rPr>
      </w:pPr>
    </w:p>
    <w:tbl>
      <w:tblPr>
        <w:tblStyle w:val="20"/>
        <w:tblW w:w="98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3"/>
        <w:gridCol w:w="1222"/>
        <w:gridCol w:w="690"/>
        <w:gridCol w:w="6962"/>
        <w:gridCol w:w="537"/>
      </w:tblGrid>
      <w:tr w14:paraId="4FFA5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483" w:type="dxa"/>
            <w:vAlign w:val="center"/>
          </w:tcPr>
          <w:p w14:paraId="4A4C30EA">
            <w:pPr>
              <w:pStyle w:val="21"/>
              <w:spacing w:before="109" w:line="210" w:lineRule="auto"/>
              <w:jc w:val="center"/>
              <w:outlineLvl w:val="1"/>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序号</w:t>
            </w:r>
          </w:p>
        </w:tc>
        <w:tc>
          <w:tcPr>
            <w:tcW w:w="1222" w:type="dxa"/>
            <w:vAlign w:val="center"/>
          </w:tcPr>
          <w:p w14:paraId="3B2ADFB3">
            <w:pPr>
              <w:pStyle w:val="21"/>
              <w:spacing w:before="109" w:line="210" w:lineRule="auto"/>
              <w:jc w:val="center"/>
              <w:outlineLvl w:val="1"/>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评分因素</w:t>
            </w:r>
          </w:p>
        </w:tc>
        <w:tc>
          <w:tcPr>
            <w:tcW w:w="690" w:type="dxa"/>
            <w:vAlign w:val="center"/>
          </w:tcPr>
          <w:p w14:paraId="6844616B">
            <w:pPr>
              <w:pStyle w:val="21"/>
              <w:spacing w:before="109" w:line="210" w:lineRule="auto"/>
              <w:jc w:val="center"/>
              <w:outlineLvl w:val="1"/>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分值</w:t>
            </w:r>
          </w:p>
        </w:tc>
        <w:tc>
          <w:tcPr>
            <w:tcW w:w="6962" w:type="dxa"/>
            <w:vAlign w:val="center"/>
          </w:tcPr>
          <w:p w14:paraId="65574F86">
            <w:pPr>
              <w:pStyle w:val="21"/>
              <w:spacing w:before="109" w:line="210" w:lineRule="auto"/>
              <w:jc w:val="center"/>
              <w:outlineLvl w:val="1"/>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评分标准</w:t>
            </w:r>
          </w:p>
        </w:tc>
        <w:tc>
          <w:tcPr>
            <w:tcW w:w="537" w:type="dxa"/>
            <w:vAlign w:val="center"/>
          </w:tcPr>
          <w:p w14:paraId="13233302">
            <w:pPr>
              <w:pStyle w:val="21"/>
              <w:spacing w:before="109" w:line="210" w:lineRule="auto"/>
              <w:jc w:val="center"/>
              <w:outlineLvl w:val="1"/>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备注</w:t>
            </w:r>
          </w:p>
        </w:tc>
      </w:tr>
      <w:tr w14:paraId="2EF67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jc w:val="center"/>
        </w:trPr>
        <w:tc>
          <w:tcPr>
            <w:tcW w:w="483" w:type="dxa"/>
            <w:vAlign w:val="center"/>
          </w:tcPr>
          <w:p w14:paraId="10FAE7AA">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22" w:type="dxa"/>
            <w:vAlign w:val="center"/>
          </w:tcPr>
          <w:p w14:paraId="21E64A1B">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报价部分</w:t>
            </w:r>
          </w:p>
        </w:tc>
        <w:tc>
          <w:tcPr>
            <w:tcW w:w="690" w:type="dxa"/>
            <w:vAlign w:val="center"/>
          </w:tcPr>
          <w:p w14:paraId="4382E700">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30分</w:t>
            </w:r>
          </w:p>
        </w:tc>
        <w:tc>
          <w:tcPr>
            <w:tcW w:w="6962" w:type="dxa"/>
            <w:vAlign w:val="top"/>
          </w:tcPr>
          <w:p w14:paraId="2F9E525E">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z w:val="21"/>
                <w:szCs w:val="21"/>
                <w:highlight w:val="none"/>
              </w:rPr>
              <w:t>采</w:t>
            </w:r>
            <w:r>
              <w:rPr>
                <w:rFonts w:hint="eastAsia" w:ascii="仿宋" w:hAnsi="仿宋" w:eastAsia="仿宋" w:cs="仿宋"/>
                <w:color w:val="auto"/>
                <w:spacing w:val="-1"/>
                <w:sz w:val="21"/>
                <w:szCs w:val="21"/>
                <w:highlight w:val="none"/>
              </w:rPr>
              <w:t>用低价优先法计算，即满足招标文件要求且投标下浮率最高的投标报价为评标基准下浮率，其价格分为满分。</w:t>
            </w:r>
          </w:p>
          <w:p w14:paraId="5B8CD971">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其他投标人的价格分统一按照下列公式计算：投标报价（下浮率）得分=（投标下浮率/基准下浮率） ×价格权值（30%） ×100</w:t>
            </w:r>
          </w:p>
        </w:tc>
        <w:tc>
          <w:tcPr>
            <w:tcW w:w="537" w:type="dxa"/>
            <w:vAlign w:val="top"/>
          </w:tcPr>
          <w:p w14:paraId="4E06F2C4">
            <w:pPr>
              <w:rPr>
                <w:rFonts w:ascii="Arial"/>
                <w:color w:val="auto"/>
                <w:sz w:val="21"/>
                <w:highlight w:val="none"/>
              </w:rPr>
            </w:pPr>
          </w:p>
        </w:tc>
      </w:tr>
      <w:tr w14:paraId="5B44C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jc w:val="center"/>
        </w:trPr>
        <w:tc>
          <w:tcPr>
            <w:tcW w:w="483" w:type="dxa"/>
            <w:vAlign w:val="center"/>
          </w:tcPr>
          <w:p w14:paraId="2DEA3923">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22" w:type="dxa"/>
            <w:vAlign w:val="center"/>
          </w:tcPr>
          <w:p w14:paraId="15FC5A4C">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投标人近</w:t>
            </w:r>
          </w:p>
          <w:p w14:paraId="2E7679A9">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三年业绩</w:t>
            </w:r>
          </w:p>
        </w:tc>
        <w:tc>
          <w:tcPr>
            <w:tcW w:w="690" w:type="dxa"/>
            <w:vAlign w:val="center"/>
          </w:tcPr>
          <w:p w14:paraId="62CAEC95">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962" w:type="dxa"/>
            <w:vAlign w:val="center"/>
          </w:tcPr>
          <w:p w14:paraId="5DD6B065">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近三年（投标截止日前三年）每提供一项评估业绩得2分，满分为10分。（业绩证明材料需提供评估咨询合同、评估报告。以上材料均须复印件加盖供应商公章，业绩证明材料提供齐全视为有效业绩，未提供或提供不齐全视为无效业绩不得分。</w:t>
            </w:r>
          </w:p>
        </w:tc>
        <w:tc>
          <w:tcPr>
            <w:tcW w:w="537" w:type="dxa"/>
            <w:vAlign w:val="top"/>
          </w:tcPr>
          <w:p w14:paraId="7B572477">
            <w:pPr>
              <w:rPr>
                <w:rFonts w:ascii="Arial"/>
                <w:color w:val="auto"/>
                <w:sz w:val="21"/>
                <w:highlight w:val="none"/>
              </w:rPr>
            </w:pPr>
          </w:p>
        </w:tc>
      </w:tr>
      <w:tr w14:paraId="58A34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4" w:hRule="atLeast"/>
          <w:jc w:val="center"/>
        </w:trPr>
        <w:tc>
          <w:tcPr>
            <w:tcW w:w="483" w:type="dxa"/>
            <w:vAlign w:val="center"/>
          </w:tcPr>
          <w:p w14:paraId="2C2B224E">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22" w:type="dxa"/>
            <w:vAlign w:val="center"/>
          </w:tcPr>
          <w:p w14:paraId="4BC6213C">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项目管理</w:t>
            </w:r>
          </w:p>
          <w:p w14:paraId="2217FCED">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w:t>
            </w:r>
          </w:p>
        </w:tc>
        <w:tc>
          <w:tcPr>
            <w:tcW w:w="690" w:type="dxa"/>
            <w:vAlign w:val="center"/>
          </w:tcPr>
          <w:p w14:paraId="273E418A">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15分</w:t>
            </w:r>
          </w:p>
        </w:tc>
        <w:tc>
          <w:tcPr>
            <w:tcW w:w="6962" w:type="dxa"/>
            <w:vAlign w:val="center"/>
          </w:tcPr>
          <w:p w14:paraId="72297FD7">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1、制度内容完整、科学合理、有针对本项目的具体描述，规范及制度非常细致、全面、完善能够保证本项目采购后的所有技术服务要求得15分；</w:t>
            </w:r>
          </w:p>
          <w:p w14:paraId="2CD13AA9">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2、制度内容完整，但是缺乏针对本项目采购需求的具体描述，可以满足采购需求的，得10分；</w:t>
            </w:r>
          </w:p>
          <w:p w14:paraId="3D748C03">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3、制度内容不完整，缺乏针对性的，得5分；</w:t>
            </w:r>
          </w:p>
          <w:p w14:paraId="07C47916">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4、制度内容不合理，无针对性，得1分；未提供不得分</w:t>
            </w:r>
            <w:r>
              <w:rPr>
                <w:rFonts w:hint="eastAsia" w:ascii="仿宋" w:hAnsi="仿宋" w:eastAsia="仿宋" w:cs="仿宋"/>
                <w:color w:val="auto"/>
                <w:sz w:val="21"/>
                <w:szCs w:val="21"/>
                <w:highlight w:val="none"/>
                <w:lang w:eastAsia="zh-CN"/>
              </w:rPr>
              <w:t>。</w:t>
            </w:r>
          </w:p>
        </w:tc>
        <w:tc>
          <w:tcPr>
            <w:tcW w:w="537" w:type="dxa"/>
            <w:vAlign w:val="top"/>
          </w:tcPr>
          <w:p w14:paraId="460CE9CA">
            <w:pPr>
              <w:rPr>
                <w:rFonts w:ascii="Arial"/>
                <w:color w:val="auto"/>
                <w:sz w:val="21"/>
                <w:highlight w:val="none"/>
              </w:rPr>
            </w:pPr>
          </w:p>
        </w:tc>
      </w:tr>
      <w:tr w14:paraId="12F4E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6" w:hRule="atLeast"/>
          <w:jc w:val="center"/>
        </w:trPr>
        <w:tc>
          <w:tcPr>
            <w:tcW w:w="483" w:type="dxa"/>
            <w:vAlign w:val="center"/>
          </w:tcPr>
          <w:p w14:paraId="4826EC1A">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222" w:type="dxa"/>
            <w:vAlign w:val="center"/>
          </w:tcPr>
          <w:p w14:paraId="31EEDDA7">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质量保证</w:t>
            </w:r>
          </w:p>
          <w:p w14:paraId="2FF16506">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措施</w:t>
            </w:r>
          </w:p>
        </w:tc>
        <w:tc>
          <w:tcPr>
            <w:tcW w:w="690" w:type="dxa"/>
            <w:vAlign w:val="center"/>
          </w:tcPr>
          <w:p w14:paraId="2EC680A0">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962" w:type="dxa"/>
            <w:vAlign w:val="center"/>
          </w:tcPr>
          <w:p w14:paraId="0691095C">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质量控制方案内容全面详细、具体、合理、针对性强得10分；</w:t>
            </w:r>
          </w:p>
          <w:p w14:paraId="6169C24B">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2、质量控制方案内容较全面、较具体、较合理、针对性较强得5分；</w:t>
            </w:r>
          </w:p>
          <w:p w14:paraId="65CBE9A0">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3、质量控制方案内容不够全面、不够详细、不够具体、不够合理,针对性有所欠缺得2分；未提供不得分。</w:t>
            </w:r>
          </w:p>
        </w:tc>
        <w:tc>
          <w:tcPr>
            <w:tcW w:w="537" w:type="dxa"/>
            <w:vAlign w:val="top"/>
          </w:tcPr>
          <w:p w14:paraId="1488DE7B">
            <w:pPr>
              <w:rPr>
                <w:rFonts w:ascii="Arial"/>
                <w:color w:val="auto"/>
                <w:sz w:val="21"/>
                <w:highlight w:val="none"/>
              </w:rPr>
            </w:pPr>
          </w:p>
        </w:tc>
      </w:tr>
      <w:tr w14:paraId="4599F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jc w:val="center"/>
        </w:trPr>
        <w:tc>
          <w:tcPr>
            <w:tcW w:w="483" w:type="dxa"/>
            <w:vAlign w:val="center"/>
          </w:tcPr>
          <w:p w14:paraId="12DE4C1C">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222" w:type="dxa"/>
            <w:vAlign w:val="center"/>
          </w:tcPr>
          <w:p w14:paraId="034D2199">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服务方案</w:t>
            </w:r>
          </w:p>
        </w:tc>
        <w:tc>
          <w:tcPr>
            <w:tcW w:w="690" w:type="dxa"/>
            <w:vAlign w:val="center"/>
          </w:tcPr>
          <w:p w14:paraId="0308BA67">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962" w:type="dxa"/>
            <w:vAlign w:val="center"/>
          </w:tcPr>
          <w:p w14:paraId="5F4AB95D">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根据本项目实际需求提供服务方案：</w:t>
            </w:r>
          </w:p>
          <w:p w14:paraId="63C8A2AE">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2、服务方案及承诺全面、合理、科学、可行性强得10分</w:t>
            </w:r>
            <w:r>
              <w:rPr>
                <w:rFonts w:hint="eastAsia" w:ascii="仿宋" w:hAnsi="仿宋" w:eastAsia="仿宋" w:cs="仿宋"/>
                <w:color w:val="auto"/>
                <w:sz w:val="21"/>
                <w:szCs w:val="21"/>
                <w:highlight w:val="none"/>
                <w:lang w:eastAsia="zh-CN"/>
              </w:rPr>
              <w:t>；</w:t>
            </w:r>
          </w:p>
          <w:p w14:paraId="6B4E9729">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、服务方案及承诺较全面、比较合理、科学、但可行得5分</w:t>
            </w:r>
            <w:r>
              <w:rPr>
                <w:rFonts w:hint="eastAsia" w:ascii="仿宋" w:hAnsi="仿宋" w:eastAsia="仿宋" w:cs="仿宋"/>
                <w:color w:val="auto"/>
                <w:sz w:val="21"/>
                <w:szCs w:val="21"/>
                <w:highlight w:val="none"/>
                <w:lang w:eastAsia="zh-CN"/>
              </w:rPr>
              <w:t>；</w:t>
            </w:r>
          </w:p>
          <w:p w14:paraId="368E3720">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、服务方案及承诺不够全面、不合理、科学、可行性差得2分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未</w:t>
            </w:r>
            <w:r>
              <w:rPr>
                <w:rFonts w:hint="eastAsia" w:ascii="仿宋" w:hAnsi="仿宋" w:eastAsia="仿宋" w:cs="仿宋"/>
                <w:color w:val="auto"/>
                <w:sz w:val="21"/>
                <w:szCs w:val="21"/>
                <w:highlight w:val="none"/>
              </w:rPr>
              <w:t>提供不得分</w:t>
            </w:r>
            <w:r>
              <w:rPr>
                <w:rFonts w:hint="eastAsia" w:ascii="仿宋" w:hAnsi="仿宋" w:eastAsia="仿宋" w:cs="仿宋"/>
                <w:color w:val="auto"/>
                <w:sz w:val="21"/>
                <w:szCs w:val="21"/>
                <w:highlight w:val="none"/>
                <w:lang w:eastAsia="zh-CN"/>
              </w:rPr>
              <w:t>。</w:t>
            </w:r>
          </w:p>
        </w:tc>
        <w:tc>
          <w:tcPr>
            <w:tcW w:w="537" w:type="dxa"/>
            <w:vAlign w:val="top"/>
          </w:tcPr>
          <w:p w14:paraId="51A0B3CA">
            <w:pPr>
              <w:rPr>
                <w:rFonts w:ascii="Arial"/>
                <w:color w:val="auto"/>
                <w:sz w:val="21"/>
                <w:highlight w:val="none"/>
              </w:rPr>
            </w:pPr>
          </w:p>
        </w:tc>
      </w:tr>
      <w:tr w14:paraId="7A875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jc w:val="center"/>
        </w:trPr>
        <w:tc>
          <w:tcPr>
            <w:tcW w:w="483" w:type="dxa"/>
            <w:vAlign w:val="center"/>
          </w:tcPr>
          <w:p w14:paraId="35411F50">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222" w:type="dxa"/>
            <w:vAlign w:val="center"/>
          </w:tcPr>
          <w:p w14:paraId="73E135B5">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成果提交</w:t>
            </w:r>
          </w:p>
        </w:tc>
        <w:tc>
          <w:tcPr>
            <w:tcW w:w="690" w:type="dxa"/>
            <w:vAlign w:val="center"/>
          </w:tcPr>
          <w:p w14:paraId="4EE8A6E5">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962" w:type="dxa"/>
            <w:vAlign w:val="center"/>
          </w:tcPr>
          <w:p w14:paraId="54DFA554">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评估报告周期保证措施， 以评估各阶段的组织安排科学合理，</w:t>
            </w:r>
          </w:p>
          <w:p w14:paraId="7E6F2AFA">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能满足计划要求，切实可行进行，由评委根据投标文件情况进行打分；优秀的10分、良的6分、差的2分。</w:t>
            </w:r>
            <w:r>
              <w:rPr>
                <w:rFonts w:hint="eastAsia" w:ascii="仿宋" w:hAnsi="仿宋" w:eastAsia="仿宋" w:cs="仿宋"/>
                <w:color w:val="auto"/>
                <w:sz w:val="21"/>
                <w:szCs w:val="21"/>
                <w:highlight w:val="none"/>
                <w:lang w:val="en-US" w:eastAsia="zh-CN"/>
              </w:rPr>
              <w:t>未提供</w:t>
            </w:r>
            <w:r>
              <w:rPr>
                <w:rFonts w:hint="eastAsia" w:ascii="仿宋" w:hAnsi="仿宋" w:eastAsia="仿宋" w:cs="仿宋"/>
                <w:color w:val="auto"/>
                <w:sz w:val="21"/>
                <w:szCs w:val="21"/>
                <w:highlight w:val="none"/>
              </w:rPr>
              <w:t>不得分</w:t>
            </w:r>
            <w:r>
              <w:rPr>
                <w:rFonts w:hint="eastAsia" w:ascii="仿宋" w:hAnsi="仿宋" w:eastAsia="仿宋" w:cs="仿宋"/>
                <w:color w:val="auto"/>
                <w:sz w:val="21"/>
                <w:szCs w:val="21"/>
                <w:highlight w:val="none"/>
                <w:lang w:eastAsia="zh-CN"/>
              </w:rPr>
              <w:t>。</w:t>
            </w:r>
          </w:p>
        </w:tc>
        <w:tc>
          <w:tcPr>
            <w:tcW w:w="537" w:type="dxa"/>
            <w:vAlign w:val="top"/>
          </w:tcPr>
          <w:p w14:paraId="3157FFB2">
            <w:pPr>
              <w:pStyle w:val="21"/>
              <w:spacing w:before="75" w:line="180" w:lineRule="exact"/>
              <w:ind w:left="189" w:leftChars="0"/>
              <w:rPr>
                <w:rFonts w:ascii="Arial"/>
                <w:color w:val="auto"/>
                <w:sz w:val="21"/>
                <w:highlight w:val="none"/>
              </w:rPr>
            </w:pPr>
          </w:p>
        </w:tc>
      </w:tr>
      <w:tr w14:paraId="04314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jc w:val="center"/>
        </w:trPr>
        <w:tc>
          <w:tcPr>
            <w:tcW w:w="483" w:type="dxa"/>
            <w:vAlign w:val="center"/>
          </w:tcPr>
          <w:p w14:paraId="56DD7361">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222" w:type="dxa"/>
            <w:vAlign w:val="center"/>
          </w:tcPr>
          <w:p w14:paraId="5AC3FD8B">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人员情况</w:t>
            </w:r>
          </w:p>
        </w:tc>
        <w:tc>
          <w:tcPr>
            <w:tcW w:w="690" w:type="dxa"/>
            <w:vAlign w:val="center"/>
          </w:tcPr>
          <w:p w14:paraId="5BC219AC">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5分</w:t>
            </w:r>
          </w:p>
        </w:tc>
        <w:tc>
          <w:tcPr>
            <w:tcW w:w="6962" w:type="dxa"/>
            <w:vAlign w:val="center"/>
          </w:tcPr>
          <w:p w14:paraId="6E3EC15D">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投标人须提供本项目服务团队人员表（附项目服务人员表包括项目负责人及其它人员信息、联系电话、近三月社保证明）每提供一人</w:t>
            </w:r>
            <w:r>
              <w:rPr>
                <w:rFonts w:hint="eastAsia" w:ascii="仿宋" w:hAnsi="仿宋" w:eastAsia="仿宋" w:cs="仿宋"/>
                <w:color w:val="auto"/>
                <w:sz w:val="21"/>
                <w:szCs w:val="21"/>
                <w:highlight w:val="none"/>
                <w:lang w:val="en-US" w:eastAsia="zh-CN"/>
              </w:rPr>
              <w:t>得</w:t>
            </w:r>
            <w:r>
              <w:rPr>
                <w:rFonts w:hint="eastAsia" w:ascii="仿宋" w:hAnsi="仿宋" w:eastAsia="仿宋" w:cs="仿宋"/>
                <w:color w:val="auto"/>
                <w:sz w:val="21"/>
                <w:szCs w:val="21"/>
                <w:highlight w:val="none"/>
              </w:rPr>
              <w:t>一分，共得5分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未提供不得分</w:t>
            </w:r>
            <w:r>
              <w:rPr>
                <w:rFonts w:hint="eastAsia" w:ascii="仿宋" w:hAnsi="仿宋" w:eastAsia="仿宋" w:cs="仿宋"/>
                <w:color w:val="auto"/>
                <w:sz w:val="21"/>
                <w:szCs w:val="21"/>
                <w:highlight w:val="none"/>
                <w:lang w:eastAsia="zh-CN"/>
              </w:rPr>
              <w:t>。</w:t>
            </w:r>
          </w:p>
        </w:tc>
        <w:tc>
          <w:tcPr>
            <w:tcW w:w="537" w:type="dxa"/>
            <w:vAlign w:val="top"/>
          </w:tcPr>
          <w:p w14:paraId="4B184804">
            <w:pPr>
              <w:rPr>
                <w:rFonts w:ascii="Arial"/>
                <w:color w:val="auto"/>
                <w:sz w:val="21"/>
                <w:highlight w:val="none"/>
              </w:rPr>
            </w:pPr>
          </w:p>
        </w:tc>
      </w:tr>
      <w:tr w14:paraId="7F23B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9" w:hRule="atLeast"/>
          <w:jc w:val="center"/>
        </w:trPr>
        <w:tc>
          <w:tcPr>
            <w:tcW w:w="483" w:type="dxa"/>
            <w:vAlign w:val="center"/>
          </w:tcPr>
          <w:p w14:paraId="126B6595">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222" w:type="dxa"/>
            <w:vAlign w:val="center"/>
          </w:tcPr>
          <w:p w14:paraId="3B749509">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项目负责人</w:t>
            </w:r>
          </w:p>
        </w:tc>
        <w:tc>
          <w:tcPr>
            <w:tcW w:w="690" w:type="dxa"/>
            <w:vAlign w:val="center"/>
          </w:tcPr>
          <w:p w14:paraId="01229AF0">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962" w:type="dxa"/>
            <w:vAlign w:val="center"/>
          </w:tcPr>
          <w:p w14:paraId="13AAC92A">
            <w:pPr>
              <w:pStyle w:val="21"/>
              <w:keepNext w:val="0"/>
              <w:keepLines w:val="0"/>
              <w:pageBreakBefore w:val="0"/>
              <w:widowControl/>
              <w:numPr>
                <w:ilvl w:val="0"/>
                <w:numId w:val="2"/>
              </w:numPr>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评估负责人执业年限3年及以上（从注册评估师初始注册计算）得3分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（需提供相关证书，及近三月社保证明</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p w14:paraId="0E40B754">
            <w:pPr>
              <w:pStyle w:val="21"/>
              <w:keepNext w:val="0"/>
              <w:keepLines w:val="0"/>
              <w:pageBreakBefore w:val="0"/>
              <w:widowControl/>
              <w:numPr>
                <w:ilvl w:val="0"/>
                <w:numId w:val="0"/>
              </w:numPr>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2、每提供一名注册评估师得1分，最多得3分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（需提供相关证书，及近三月社保证明</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p w14:paraId="052B7733">
            <w:pPr>
              <w:pStyle w:val="21"/>
              <w:keepNext w:val="0"/>
              <w:keepLines w:val="0"/>
              <w:pageBreakBefore w:val="0"/>
              <w:widowControl/>
              <w:kinsoku w:val="0"/>
              <w:wordWrap/>
              <w:overflowPunct/>
              <w:topLinePunct w:val="0"/>
              <w:autoSpaceDE w:val="0"/>
              <w:autoSpaceDN w:val="0"/>
              <w:bidi w:val="0"/>
              <w:adjustRightInd w:val="0"/>
              <w:snapToGrid w:val="0"/>
              <w:spacing w:before="75" w:line="26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3、评估负责人每提供一个业绩得1分，最多得4分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（需提供评估报告）</w:t>
            </w:r>
          </w:p>
        </w:tc>
        <w:tc>
          <w:tcPr>
            <w:tcW w:w="537" w:type="dxa"/>
            <w:vAlign w:val="top"/>
          </w:tcPr>
          <w:p w14:paraId="4F4D4704">
            <w:pPr>
              <w:rPr>
                <w:rFonts w:ascii="Arial"/>
                <w:color w:val="auto"/>
                <w:sz w:val="21"/>
                <w:highlight w:val="none"/>
              </w:rPr>
            </w:pPr>
          </w:p>
        </w:tc>
      </w:tr>
    </w:tbl>
    <w:p w14:paraId="0867C64D">
      <w:pPr>
        <w:spacing w:line="195" w:lineRule="exact"/>
        <w:rPr>
          <w:color w:val="auto"/>
          <w:highlight w:val="none"/>
        </w:rPr>
      </w:pPr>
    </w:p>
    <w:p w14:paraId="4A395679">
      <w:pPr>
        <w:rPr>
          <w:rFonts w:ascii="Arial"/>
          <w:color w:val="auto"/>
          <w:sz w:val="21"/>
          <w:highlight w:val="none"/>
        </w:rPr>
      </w:pPr>
    </w:p>
    <w:p w14:paraId="70CF2321">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标项3：</w:t>
      </w:r>
    </w:p>
    <w:p w14:paraId="0946B637">
      <w:pPr>
        <w:pStyle w:val="4"/>
        <w:rPr>
          <w:rFonts w:hint="eastAsia"/>
          <w:color w:val="auto"/>
          <w:highlight w:val="none"/>
          <w:lang w:val="en-US" w:eastAsia="zh-CN"/>
        </w:rPr>
      </w:pPr>
    </w:p>
    <w:tbl>
      <w:tblPr>
        <w:tblStyle w:val="20"/>
        <w:tblW w:w="97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4"/>
        <w:gridCol w:w="1231"/>
        <w:gridCol w:w="601"/>
        <w:gridCol w:w="7106"/>
        <w:gridCol w:w="342"/>
      </w:tblGrid>
      <w:tr w14:paraId="70628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474" w:type="dxa"/>
            <w:vAlign w:val="center"/>
          </w:tcPr>
          <w:p w14:paraId="14CDBDBF">
            <w:pPr>
              <w:pStyle w:val="21"/>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序号</w:t>
            </w:r>
          </w:p>
        </w:tc>
        <w:tc>
          <w:tcPr>
            <w:tcW w:w="1231" w:type="dxa"/>
            <w:vAlign w:val="center"/>
          </w:tcPr>
          <w:p w14:paraId="179693ED">
            <w:pPr>
              <w:pStyle w:val="21"/>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评分因素</w:t>
            </w:r>
          </w:p>
        </w:tc>
        <w:tc>
          <w:tcPr>
            <w:tcW w:w="601" w:type="dxa"/>
            <w:vAlign w:val="center"/>
          </w:tcPr>
          <w:p w14:paraId="3F1D99E4">
            <w:pPr>
              <w:pStyle w:val="21"/>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分值</w:t>
            </w:r>
          </w:p>
        </w:tc>
        <w:tc>
          <w:tcPr>
            <w:tcW w:w="7106" w:type="dxa"/>
            <w:vAlign w:val="center"/>
          </w:tcPr>
          <w:p w14:paraId="0C45DCAF">
            <w:pPr>
              <w:pStyle w:val="21"/>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评分标准</w:t>
            </w:r>
          </w:p>
        </w:tc>
        <w:tc>
          <w:tcPr>
            <w:tcW w:w="342" w:type="dxa"/>
            <w:vAlign w:val="center"/>
          </w:tcPr>
          <w:p w14:paraId="75A120C8">
            <w:pPr>
              <w:pStyle w:val="21"/>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备注</w:t>
            </w:r>
          </w:p>
        </w:tc>
      </w:tr>
      <w:tr w14:paraId="368EC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jc w:val="center"/>
        </w:trPr>
        <w:tc>
          <w:tcPr>
            <w:tcW w:w="474" w:type="dxa"/>
            <w:vAlign w:val="center"/>
          </w:tcPr>
          <w:p w14:paraId="50F3A9E1">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31" w:type="dxa"/>
            <w:vAlign w:val="center"/>
          </w:tcPr>
          <w:p w14:paraId="2D504325">
            <w:pPr>
              <w:pStyle w:val="21"/>
              <w:spacing w:before="75" w:line="226" w:lineRule="auto"/>
              <w:jc w:val="center"/>
              <w:outlineLvl w:val="1"/>
              <w:rPr>
                <w:rFonts w:hint="eastAsia" w:ascii="仿宋" w:hAnsi="仿宋" w:eastAsia="仿宋" w:cs="仿宋"/>
                <w:color w:val="auto"/>
                <w:spacing w:val="5"/>
                <w:sz w:val="21"/>
                <w:szCs w:val="21"/>
                <w:highlight w:val="none"/>
              </w:rPr>
            </w:pPr>
            <w:r>
              <w:rPr>
                <w:rFonts w:hint="eastAsia" w:ascii="仿宋" w:hAnsi="仿宋" w:eastAsia="仿宋" w:cs="仿宋"/>
                <w:color w:val="auto"/>
                <w:spacing w:val="5"/>
                <w:sz w:val="21"/>
                <w:szCs w:val="21"/>
                <w:highlight w:val="none"/>
              </w:rPr>
              <w:t>报价</w:t>
            </w:r>
          </w:p>
          <w:p w14:paraId="785D1139">
            <w:pPr>
              <w:pStyle w:val="21"/>
              <w:spacing w:before="75" w:line="226"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部</w:t>
            </w:r>
            <w:r>
              <w:rPr>
                <w:rFonts w:hint="eastAsia" w:ascii="仿宋" w:hAnsi="仿宋" w:eastAsia="仿宋" w:cs="仿宋"/>
                <w:color w:val="auto"/>
                <w:sz w:val="21"/>
                <w:szCs w:val="21"/>
                <w:highlight w:val="none"/>
              </w:rPr>
              <w:t>分</w:t>
            </w:r>
          </w:p>
        </w:tc>
        <w:tc>
          <w:tcPr>
            <w:tcW w:w="601" w:type="dxa"/>
            <w:vAlign w:val="center"/>
          </w:tcPr>
          <w:p w14:paraId="14A66042">
            <w:pPr>
              <w:pStyle w:val="21"/>
              <w:spacing w:before="74" w:line="188" w:lineRule="auto"/>
              <w:jc w:val="center"/>
              <w:rPr>
                <w:rFonts w:hint="eastAsia" w:ascii="仿宋" w:hAnsi="仿宋" w:eastAsia="仿宋" w:cs="仿宋"/>
                <w:color w:val="auto"/>
                <w:sz w:val="21"/>
                <w:szCs w:val="21"/>
                <w:highlight w:val="none"/>
              </w:rPr>
            </w:pPr>
          </w:p>
          <w:p w14:paraId="49CD4828">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30分</w:t>
            </w:r>
          </w:p>
        </w:tc>
        <w:tc>
          <w:tcPr>
            <w:tcW w:w="7106" w:type="dxa"/>
            <w:vAlign w:val="center"/>
          </w:tcPr>
          <w:p w14:paraId="643F4C33">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采用低价优先法计算，即满足招标文件要求且投标下浮率最高的投标报价为评标基准下浮率，其价格分为满分。</w:t>
            </w:r>
          </w:p>
          <w:p w14:paraId="122E14D3">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pacing w:val="7"/>
                <w:sz w:val="21"/>
                <w:szCs w:val="21"/>
                <w:highlight w:val="none"/>
              </w:rPr>
            </w:pPr>
            <w:r>
              <w:rPr>
                <w:rFonts w:hint="eastAsia" w:ascii="仿宋" w:hAnsi="仿宋" w:eastAsia="仿宋" w:cs="仿宋"/>
                <w:color w:val="auto"/>
                <w:sz w:val="21"/>
                <w:szCs w:val="21"/>
                <w:highlight w:val="none"/>
              </w:rPr>
              <w:t>其他投标人的价格分统一按照下列公式计算：投标报价（下浮率）得分=（投标下浮率/基准下浮率） ×价格权值（30%） ×100</w:t>
            </w:r>
          </w:p>
        </w:tc>
        <w:tc>
          <w:tcPr>
            <w:tcW w:w="342" w:type="dxa"/>
            <w:vAlign w:val="top"/>
          </w:tcPr>
          <w:p w14:paraId="1F05E7BA">
            <w:pPr>
              <w:rPr>
                <w:rFonts w:ascii="Arial"/>
                <w:color w:val="auto"/>
                <w:sz w:val="21"/>
                <w:highlight w:val="none"/>
              </w:rPr>
            </w:pPr>
          </w:p>
        </w:tc>
      </w:tr>
      <w:tr w14:paraId="7E924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5" w:hRule="atLeast"/>
          <w:jc w:val="center"/>
        </w:trPr>
        <w:tc>
          <w:tcPr>
            <w:tcW w:w="474" w:type="dxa"/>
            <w:vAlign w:val="center"/>
          </w:tcPr>
          <w:p w14:paraId="67C6F897">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31" w:type="dxa"/>
            <w:vAlign w:val="center"/>
          </w:tcPr>
          <w:p w14:paraId="1D8732F4">
            <w:pPr>
              <w:pStyle w:val="21"/>
              <w:spacing w:before="74" w:line="228"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投标人</w:t>
            </w:r>
            <w:r>
              <w:rPr>
                <w:rFonts w:hint="eastAsia" w:ascii="仿宋" w:hAnsi="仿宋" w:eastAsia="仿宋" w:cs="仿宋"/>
                <w:color w:val="auto"/>
                <w:spacing w:val="4"/>
                <w:sz w:val="21"/>
                <w:szCs w:val="21"/>
                <w:highlight w:val="none"/>
              </w:rPr>
              <w:t>近三年</w:t>
            </w:r>
            <w:r>
              <w:rPr>
                <w:rFonts w:hint="eastAsia" w:ascii="仿宋" w:hAnsi="仿宋" w:eastAsia="仿宋" w:cs="仿宋"/>
                <w:color w:val="auto"/>
                <w:spacing w:val="3"/>
                <w:sz w:val="21"/>
                <w:szCs w:val="21"/>
                <w:highlight w:val="none"/>
              </w:rPr>
              <w:t>业绩</w:t>
            </w:r>
          </w:p>
        </w:tc>
        <w:tc>
          <w:tcPr>
            <w:tcW w:w="601" w:type="dxa"/>
            <w:vAlign w:val="center"/>
          </w:tcPr>
          <w:p w14:paraId="31BAEEA4">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7106" w:type="dxa"/>
            <w:vAlign w:val="center"/>
          </w:tcPr>
          <w:p w14:paraId="5D167519">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近三年（投标截止日前三年）每提供一项评估业绩得2分，满分为10分。（业绩证明材料需提供评估咨询合同、评估报告。以上材料均须复印件加盖供应商公章，业绩证明材料提供齐全视为有效业绩，未提供或提供不齐全视为无效业绩不得分。</w:t>
            </w:r>
          </w:p>
        </w:tc>
        <w:tc>
          <w:tcPr>
            <w:tcW w:w="342" w:type="dxa"/>
            <w:vAlign w:val="top"/>
          </w:tcPr>
          <w:p w14:paraId="6E136EA2">
            <w:pPr>
              <w:rPr>
                <w:rFonts w:ascii="Arial"/>
                <w:color w:val="auto"/>
                <w:sz w:val="21"/>
                <w:highlight w:val="none"/>
              </w:rPr>
            </w:pPr>
          </w:p>
        </w:tc>
      </w:tr>
      <w:tr w14:paraId="49C8A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jc w:val="center"/>
        </w:trPr>
        <w:tc>
          <w:tcPr>
            <w:tcW w:w="474" w:type="dxa"/>
            <w:vAlign w:val="center"/>
          </w:tcPr>
          <w:p w14:paraId="77BC5540">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31" w:type="dxa"/>
            <w:vAlign w:val="center"/>
          </w:tcPr>
          <w:p w14:paraId="4250B032">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项目管理</w:t>
            </w:r>
          </w:p>
          <w:p w14:paraId="56CAD88A">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w:t>
            </w:r>
          </w:p>
        </w:tc>
        <w:tc>
          <w:tcPr>
            <w:tcW w:w="601" w:type="dxa"/>
            <w:vAlign w:val="center"/>
          </w:tcPr>
          <w:p w14:paraId="1E7C0E61">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15分</w:t>
            </w:r>
          </w:p>
        </w:tc>
        <w:tc>
          <w:tcPr>
            <w:tcW w:w="7106" w:type="dxa"/>
            <w:vAlign w:val="center"/>
          </w:tcPr>
          <w:p w14:paraId="7C6DE597">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1、制度内容完整、科学合理、有针对本项目的具体描述，规范及制度非常细致、全面、完善能够保证本项目采购后的所有技术服务要求得15分；</w:t>
            </w:r>
          </w:p>
          <w:p w14:paraId="27181A1B">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2、制度内容完整，但是缺乏针对本项目采购需求的具体描述，可以满足采购需求的，得10分；</w:t>
            </w:r>
          </w:p>
          <w:p w14:paraId="78999ACE">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3、制度内容不完整，缺乏针对性的，得5分；</w:t>
            </w:r>
          </w:p>
          <w:p w14:paraId="6D6C2D6D">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4、制度内容不合理，无针对性，得1分；未提供不得分</w:t>
            </w:r>
            <w:r>
              <w:rPr>
                <w:rFonts w:hint="eastAsia" w:ascii="仿宋" w:hAnsi="仿宋" w:eastAsia="仿宋" w:cs="仿宋"/>
                <w:color w:val="auto"/>
                <w:sz w:val="21"/>
                <w:szCs w:val="21"/>
                <w:highlight w:val="none"/>
                <w:lang w:eastAsia="zh-CN"/>
              </w:rPr>
              <w:t>。</w:t>
            </w:r>
          </w:p>
        </w:tc>
        <w:tc>
          <w:tcPr>
            <w:tcW w:w="342" w:type="dxa"/>
            <w:vAlign w:val="top"/>
          </w:tcPr>
          <w:p w14:paraId="5DE221F7">
            <w:pPr>
              <w:rPr>
                <w:rFonts w:ascii="Arial"/>
                <w:color w:val="auto"/>
                <w:sz w:val="21"/>
                <w:highlight w:val="none"/>
              </w:rPr>
            </w:pPr>
          </w:p>
        </w:tc>
      </w:tr>
      <w:tr w14:paraId="07899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jc w:val="center"/>
        </w:trPr>
        <w:tc>
          <w:tcPr>
            <w:tcW w:w="474" w:type="dxa"/>
            <w:vAlign w:val="center"/>
          </w:tcPr>
          <w:p w14:paraId="4021FC0D">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231" w:type="dxa"/>
            <w:vAlign w:val="center"/>
          </w:tcPr>
          <w:p w14:paraId="32609715">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质量保</w:t>
            </w:r>
          </w:p>
          <w:p w14:paraId="00B3CC10">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证措施</w:t>
            </w:r>
          </w:p>
        </w:tc>
        <w:tc>
          <w:tcPr>
            <w:tcW w:w="601" w:type="dxa"/>
            <w:vAlign w:val="center"/>
          </w:tcPr>
          <w:p w14:paraId="17E15B26">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7106" w:type="dxa"/>
            <w:vAlign w:val="center"/>
          </w:tcPr>
          <w:p w14:paraId="0BA4F3BB">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质量控制方案内容全面详细、具体、合理、针对性强得10分；</w:t>
            </w:r>
          </w:p>
          <w:p w14:paraId="626B25F0">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2、质量控制方案内容较全面、较具体、较合理、针对性较强得5分；</w:t>
            </w:r>
          </w:p>
          <w:p w14:paraId="46CBA8B8">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3、质量控制方案内容不够全面、不够详细、不够具体、不够合理,针对性有所欠缺得2分；未提供的不得分。</w:t>
            </w:r>
          </w:p>
        </w:tc>
        <w:tc>
          <w:tcPr>
            <w:tcW w:w="342" w:type="dxa"/>
            <w:vAlign w:val="top"/>
          </w:tcPr>
          <w:p w14:paraId="582413D0">
            <w:pPr>
              <w:rPr>
                <w:rFonts w:ascii="Arial"/>
                <w:color w:val="auto"/>
                <w:sz w:val="21"/>
                <w:highlight w:val="none"/>
              </w:rPr>
            </w:pPr>
          </w:p>
        </w:tc>
      </w:tr>
      <w:tr w14:paraId="6B34A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6" w:hRule="atLeast"/>
          <w:jc w:val="center"/>
        </w:trPr>
        <w:tc>
          <w:tcPr>
            <w:tcW w:w="474" w:type="dxa"/>
            <w:vAlign w:val="center"/>
          </w:tcPr>
          <w:p w14:paraId="718716CB">
            <w:pPr>
              <w:pStyle w:val="21"/>
              <w:spacing w:before="75" w:line="187"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231" w:type="dxa"/>
            <w:vAlign w:val="center"/>
          </w:tcPr>
          <w:p w14:paraId="29FE6F5D">
            <w:pPr>
              <w:pStyle w:val="21"/>
              <w:spacing w:before="74" w:line="227"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服务</w:t>
            </w:r>
            <w:r>
              <w:rPr>
                <w:rFonts w:hint="eastAsia" w:ascii="仿宋" w:hAnsi="仿宋" w:eastAsia="仿宋" w:cs="仿宋"/>
                <w:color w:val="auto"/>
                <w:spacing w:val="1"/>
                <w:sz w:val="21"/>
                <w:szCs w:val="21"/>
                <w:highlight w:val="none"/>
              </w:rPr>
              <w:t>方案</w:t>
            </w:r>
          </w:p>
        </w:tc>
        <w:tc>
          <w:tcPr>
            <w:tcW w:w="601" w:type="dxa"/>
            <w:vAlign w:val="center"/>
          </w:tcPr>
          <w:p w14:paraId="109B5452">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7106" w:type="dxa"/>
            <w:vAlign w:val="center"/>
          </w:tcPr>
          <w:p w14:paraId="4C9E5515">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根据本项目实际需求提供服务方案：</w:t>
            </w:r>
          </w:p>
          <w:p w14:paraId="1EA41A5E">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、服务方案及承诺全面、合理、科学、可行性强得10分</w:t>
            </w:r>
            <w:r>
              <w:rPr>
                <w:rFonts w:hint="eastAsia" w:ascii="仿宋" w:hAnsi="仿宋" w:eastAsia="仿宋" w:cs="仿宋"/>
                <w:color w:val="auto"/>
                <w:sz w:val="21"/>
                <w:szCs w:val="21"/>
                <w:highlight w:val="none"/>
                <w:lang w:eastAsia="zh-CN"/>
              </w:rPr>
              <w:t>；</w:t>
            </w:r>
          </w:p>
          <w:p w14:paraId="0E326B0F">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2、服务方案及承诺较全面、比较合理、科学、但可行得5分</w:t>
            </w:r>
            <w:r>
              <w:rPr>
                <w:rFonts w:hint="eastAsia" w:ascii="仿宋" w:hAnsi="仿宋" w:eastAsia="仿宋" w:cs="仿宋"/>
                <w:color w:val="auto"/>
                <w:sz w:val="21"/>
                <w:szCs w:val="21"/>
                <w:highlight w:val="none"/>
                <w:lang w:eastAsia="zh-CN"/>
              </w:rPr>
              <w:t>；</w:t>
            </w:r>
          </w:p>
          <w:p w14:paraId="5391D806">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3、服务方案及承诺不够全面、不合理、科学、可行性差得2分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未</w:t>
            </w:r>
            <w:r>
              <w:rPr>
                <w:rFonts w:hint="eastAsia" w:ascii="仿宋" w:hAnsi="仿宋" w:eastAsia="仿宋" w:cs="仿宋"/>
                <w:color w:val="auto"/>
                <w:sz w:val="21"/>
                <w:szCs w:val="21"/>
                <w:highlight w:val="none"/>
              </w:rPr>
              <w:t>提供不得分</w:t>
            </w:r>
            <w:r>
              <w:rPr>
                <w:rFonts w:hint="eastAsia" w:ascii="仿宋" w:hAnsi="仿宋" w:eastAsia="仿宋" w:cs="仿宋"/>
                <w:color w:val="auto"/>
                <w:sz w:val="21"/>
                <w:szCs w:val="21"/>
                <w:highlight w:val="none"/>
                <w:lang w:eastAsia="zh-CN"/>
              </w:rPr>
              <w:t>。</w:t>
            </w:r>
          </w:p>
        </w:tc>
        <w:tc>
          <w:tcPr>
            <w:tcW w:w="342" w:type="dxa"/>
            <w:vAlign w:val="top"/>
          </w:tcPr>
          <w:p w14:paraId="59A9AFD1">
            <w:pPr>
              <w:rPr>
                <w:rFonts w:ascii="Arial"/>
                <w:color w:val="auto"/>
                <w:sz w:val="21"/>
                <w:highlight w:val="none"/>
              </w:rPr>
            </w:pPr>
          </w:p>
        </w:tc>
      </w:tr>
      <w:tr w14:paraId="7FEBE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jc w:val="center"/>
        </w:trPr>
        <w:tc>
          <w:tcPr>
            <w:tcW w:w="474" w:type="dxa"/>
            <w:vAlign w:val="top"/>
          </w:tcPr>
          <w:p w14:paraId="4731AA55">
            <w:pPr>
              <w:spacing w:line="478" w:lineRule="auto"/>
              <w:jc w:val="center"/>
              <w:rPr>
                <w:rFonts w:hint="eastAsia" w:ascii="仿宋" w:hAnsi="仿宋" w:eastAsia="仿宋" w:cs="仿宋"/>
                <w:color w:val="auto"/>
                <w:sz w:val="21"/>
                <w:szCs w:val="21"/>
                <w:highlight w:val="none"/>
              </w:rPr>
            </w:pPr>
          </w:p>
          <w:p w14:paraId="0DC497E5">
            <w:pPr>
              <w:pStyle w:val="21"/>
              <w:spacing w:before="75" w:line="189" w:lineRule="auto"/>
              <w:ind w:left="130" w:lef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231" w:type="dxa"/>
            <w:vAlign w:val="top"/>
          </w:tcPr>
          <w:p w14:paraId="0B62783F">
            <w:pPr>
              <w:pStyle w:val="21"/>
              <w:spacing w:before="286" w:line="228" w:lineRule="auto"/>
              <w:ind w:left="123"/>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成果</w:t>
            </w:r>
          </w:p>
          <w:p w14:paraId="22DD5F99">
            <w:pPr>
              <w:pStyle w:val="21"/>
              <w:spacing w:before="183" w:line="228" w:lineRule="auto"/>
              <w:ind w:left="122" w:leftChars="0"/>
              <w:jc w:val="center"/>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提交</w:t>
            </w:r>
          </w:p>
        </w:tc>
        <w:tc>
          <w:tcPr>
            <w:tcW w:w="601" w:type="dxa"/>
            <w:vAlign w:val="top"/>
          </w:tcPr>
          <w:p w14:paraId="18DBE94D">
            <w:pPr>
              <w:pStyle w:val="21"/>
              <w:spacing w:before="74" w:line="188" w:lineRule="auto"/>
              <w:jc w:val="center"/>
              <w:rPr>
                <w:rFonts w:hint="eastAsia" w:ascii="仿宋" w:hAnsi="仿宋" w:eastAsia="仿宋" w:cs="仿宋"/>
                <w:color w:val="auto"/>
                <w:sz w:val="21"/>
                <w:szCs w:val="21"/>
                <w:highlight w:val="none"/>
              </w:rPr>
            </w:pPr>
          </w:p>
          <w:p w14:paraId="177F0BCF">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7106" w:type="dxa"/>
            <w:vAlign w:val="center"/>
          </w:tcPr>
          <w:p w14:paraId="39FA3575">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评估报告周期保证措施， 以评估各阶段的组织安排科学合理，能满足计划要求，切实可行进行，由评委根据投标文件情况进 行打分；优秀的10分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良的6分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差的2分。</w:t>
            </w:r>
            <w:r>
              <w:rPr>
                <w:rFonts w:hint="eastAsia" w:ascii="仿宋" w:hAnsi="仿宋" w:eastAsia="仿宋" w:cs="仿宋"/>
                <w:color w:val="auto"/>
                <w:sz w:val="21"/>
                <w:szCs w:val="21"/>
                <w:highlight w:val="none"/>
                <w:lang w:val="en-US" w:eastAsia="zh-CN"/>
              </w:rPr>
              <w:t>未</w:t>
            </w:r>
            <w:r>
              <w:rPr>
                <w:rFonts w:hint="eastAsia" w:ascii="仿宋" w:hAnsi="仿宋" w:eastAsia="仿宋" w:cs="仿宋"/>
                <w:color w:val="auto"/>
                <w:sz w:val="21"/>
                <w:szCs w:val="21"/>
                <w:highlight w:val="none"/>
              </w:rPr>
              <w:t>提供不得分</w:t>
            </w:r>
            <w:r>
              <w:rPr>
                <w:rFonts w:hint="eastAsia" w:ascii="仿宋" w:hAnsi="仿宋" w:eastAsia="仿宋" w:cs="仿宋"/>
                <w:color w:val="auto"/>
                <w:sz w:val="21"/>
                <w:szCs w:val="21"/>
                <w:highlight w:val="none"/>
                <w:lang w:eastAsia="zh-CN"/>
              </w:rPr>
              <w:t>。</w:t>
            </w:r>
          </w:p>
        </w:tc>
        <w:tc>
          <w:tcPr>
            <w:tcW w:w="342" w:type="dxa"/>
            <w:vAlign w:val="top"/>
          </w:tcPr>
          <w:p w14:paraId="6B69D786">
            <w:pPr>
              <w:rPr>
                <w:rFonts w:ascii="Arial"/>
                <w:color w:val="auto"/>
                <w:sz w:val="21"/>
                <w:highlight w:val="none"/>
              </w:rPr>
            </w:pPr>
          </w:p>
        </w:tc>
      </w:tr>
      <w:tr w14:paraId="0C5A9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jc w:val="center"/>
        </w:trPr>
        <w:tc>
          <w:tcPr>
            <w:tcW w:w="474" w:type="dxa"/>
            <w:vAlign w:val="center"/>
          </w:tcPr>
          <w:p w14:paraId="6152676C">
            <w:pPr>
              <w:pStyle w:val="21"/>
              <w:spacing w:before="74" w:line="187"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231" w:type="dxa"/>
            <w:vAlign w:val="center"/>
          </w:tcPr>
          <w:p w14:paraId="7DBCF5B9">
            <w:pPr>
              <w:pStyle w:val="21"/>
              <w:spacing w:before="75" w:line="229" w:lineRule="auto"/>
              <w:jc w:val="center"/>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z w:val="21"/>
                <w:szCs w:val="21"/>
                <w:highlight w:val="none"/>
              </w:rPr>
              <w:t>人员</w:t>
            </w:r>
            <w:r>
              <w:rPr>
                <w:rFonts w:hint="eastAsia" w:ascii="仿宋" w:hAnsi="仿宋" w:eastAsia="仿宋" w:cs="仿宋"/>
                <w:color w:val="auto"/>
                <w:spacing w:val="1"/>
                <w:sz w:val="21"/>
                <w:szCs w:val="21"/>
                <w:highlight w:val="none"/>
              </w:rPr>
              <w:t>情况</w:t>
            </w:r>
          </w:p>
        </w:tc>
        <w:tc>
          <w:tcPr>
            <w:tcW w:w="601" w:type="dxa"/>
            <w:vAlign w:val="center"/>
          </w:tcPr>
          <w:p w14:paraId="56FFD8BF">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5分</w:t>
            </w:r>
          </w:p>
        </w:tc>
        <w:tc>
          <w:tcPr>
            <w:tcW w:w="7106" w:type="dxa"/>
            <w:vAlign w:val="center"/>
          </w:tcPr>
          <w:p w14:paraId="10B87E60">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投标人须提供本项目服务团队人员表（附项目服务人员表包括项目负责人及其它人员信息、联系电话、社保证明）每提供一人</w:t>
            </w:r>
            <w:r>
              <w:rPr>
                <w:rFonts w:hint="eastAsia" w:ascii="仿宋" w:hAnsi="仿宋" w:eastAsia="仿宋" w:cs="仿宋"/>
                <w:color w:val="auto"/>
                <w:sz w:val="21"/>
                <w:szCs w:val="21"/>
                <w:highlight w:val="none"/>
                <w:lang w:val="en-US" w:eastAsia="zh-CN"/>
              </w:rPr>
              <w:t>得</w:t>
            </w:r>
            <w:r>
              <w:rPr>
                <w:rFonts w:hint="eastAsia" w:ascii="仿宋" w:hAnsi="仿宋" w:eastAsia="仿宋" w:cs="仿宋"/>
                <w:color w:val="auto"/>
                <w:sz w:val="21"/>
                <w:szCs w:val="21"/>
                <w:highlight w:val="none"/>
              </w:rPr>
              <w:t>一分，共得5分</w:t>
            </w:r>
            <w:r>
              <w:rPr>
                <w:rFonts w:hint="eastAsia" w:ascii="仿宋" w:hAnsi="仿宋" w:eastAsia="仿宋" w:cs="仿宋"/>
                <w:color w:val="auto"/>
                <w:sz w:val="21"/>
                <w:szCs w:val="21"/>
                <w:highlight w:val="none"/>
                <w:lang w:eastAsia="zh-CN"/>
              </w:rPr>
              <w:t>。</w:t>
            </w:r>
          </w:p>
        </w:tc>
        <w:tc>
          <w:tcPr>
            <w:tcW w:w="342" w:type="dxa"/>
            <w:vAlign w:val="top"/>
          </w:tcPr>
          <w:p w14:paraId="1C69EBF4">
            <w:pPr>
              <w:rPr>
                <w:rFonts w:ascii="Arial"/>
                <w:color w:val="auto"/>
                <w:sz w:val="21"/>
                <w:highlight w:val="none"/>
              </w:rPr>
            </w:pPr>
          </w:p>
        </w:tc>
      </w:tr>
      <w:tr w14:paraId="7A9C4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jc w:val="center"/>
        </w:trPr>
        <w:tc>
          <w:tcPr>
            <w:tcW w:w="474" w:type="dxa"/>
            <w:vAlign w:val="center"/>
          </w:tcPr>
          <w:p w14:paraId="1CD65F02">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231" w:type="dxa"/>
            <w:vAlign w:val="center"/>
          </w:tcPr>
          <w:p w14:paraId="29F7B256">
            <w:pPr>
              <w:pStyle w:val="21"/>
              <w:spacing w:before="75" w:line="227" w:lineRule="auto"/>
              <w:jc w:val="center"/>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2"/>
                <w:sz w:val="21"/>
                <w:szCs w:val="21"/>
                <w:highlight w:val="none"/>
              </w:rPr>
              <w:t>项目负</w:t>
            </w:r>
            <w:r>
              <w:rPr>
                <w:rFonts w:hint="eastAsia" w:ascii="仿宋" w:hAnsi="仿宋" w:eastAsia="仿宋" w:cs="仿宋"/>
                <w:color w:val="auto"/>
                <w:spacing w:val="-4"/>
                <w:sz w:val="21"/>
                <w:szCs w:val="21"/>
                <w:highlight w:val="none"/>
              </w:rPr>
              <w:t>责人</w:t>
            </w:r>
          </w:p>
        </w:tc>
        <w:tc>
          <w:tcPr>
            <w:tcW w:w="601" w:type="dxa"/>
            <w:vAlign w:val="center"/>
          </w:tcPr>
          <w:p w14:paraId="525F792D">
            <w:pPr>
              <w:pStyle w:val="21"/>
              <w:spacing w:before="74" w:line="188"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7106" w:type="dxa"/>
            <w:vAlign w:val="center"/>
          </w:tcPr>
          <w:p w14:paraId="3EA6ECE0">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1、评估负责人执业年限3年及以上（从注册评估师初始注册计算）得3分（需提供相关证书，及近三月社保证明）</w:t>
            </w:r>
            <w:r>
              <w:rPr>
                <w:rFonts w:hint="eastAsia" w:ascii="仿宋" w:hAnsi="仿宋" w:eastAsia="仿宋" w:cs="仿宋"/>
                <w:color w:val="auto"/>
                <w:sz w:val="21"/>
                <w:szCs w:val="21"/>
                <w:highlight w:val="none"/>
                <w:lang w:eastAsia="zh-CN"/>
              </w:rPr>
              <w:t>；</w:t>
            </w:r>
          </w:p>
          <w:p w14:paraId="4266CC62">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2、每提供一名注册评估师得1分，最多得3分（需提供相关证书及近三月社保证明）</w:t>
            </w:r>
            <w:r>
              <w:rPr>
                <w:rFonts w:hint="eastAsia" w:ascii="仿宋" w:hAnsi="仿宋" w:eastAsia="仿宋" w:cs="仿宋"/>
                <w:color w:val="auto"/>
                <w:sz w:val="21"/>
                <w:szCs w:val="21"/>
                <w:highlight w:val="none"/>
                <w:lang w:eastAsia="zh-CN"/>
              </w:rPr>
              <w:t>；</w:t>
            </w:r>
          </w:p>
          <w:p w14:paraId="1B7EB13B">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3、评估负责人每提供一个业绩得1分，最多得4分（需提供评估报告）</w:t>
            </w:r>
            <w:r>
              <w:rPr>
                <w:rFonts w:hint="eastAsia" w:ascii="仿宋" w:hAnsi="仿宋" w:eastAsia="仿宋" w:cs="仿宋"/>
                <w:color w:val="auto"/>
                <w:sz w:val="21"/>
                <w:szCs w:val="21"/>
                <w:highlight w:val="none"/>
                <w:lang w:eastAsia="zh-CN"/>
              </w:rPr>
              <w:t>。</w:t>
            </w:r>
          </w:p>
        </w:tc>
        <w:tc>
          <w:tcPr>
            <w:tcW w:w="342" w:type="dxa"/>
            <w:vAlign w:val="top"/>
          </w:tcPr>
          <w:p w14:paraId="4412AF9D">
            <w:pPr>
              <w:pStyle w:val="21"/>
              <w:spacing w:before="72" w:line="319" w:lineRule="auto"/>
              <w:ind w:left="120" w:right="95" w:firstLine="35"/>
              <w:jc w:val="left"/>
              <w:rPr>
                <w:rFonts w:hint="eastAsia" w:ascii="仿宋" w:hAnsi="仿宋" w:eastAsia="仿宋" w:cs="仿宋"/>
                <w:color w:val="auto"/>
                <w:spacing w:val="7"/>
                <w:sz w:val="21"/>
                <w:szCs w:val="21"/>
                <w:highlight w:val="none"/>
              </w:rPr>
            </w:pPr>
          </w:p>
        </w:tc>
      </w:tr>
    </w:tbl>
    <w:p w14:paraId="09BC19C5">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eastAsia="宋体"/>
          <w:b/>
          <w:bCs/>
          <w:color w:val="auto"/>
          <w:sz w:val="28"/>
          <w:szCs w:val="28"/>
          <w:highlight w:val="none"/>
          <w:lang w:val="en-US" w:eastAsia="zh-CN"/>
        </w:rPr>
      </w:pPr>
    </w:p>
    <w:p w14:paraId="4355FB7F">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eastAsia="宋体"/>
          <w:b/>
          <w:bCs/>
          <w:color w:val="auto"/>
          <w:sz w:val="28"/>
          <w:szCs w:val="28"/>
          <w:highlight w:val="none"/>
          <w:lang w:val="en-US" w:eastAsia="zh-CN"/>
        </w:rPr>
      </w:pPr>
    </w:p>
    <w:p w14:paraId="5BE474FD">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eastAsia="宋体"/>
          <w:b/>
          <w:bCs/>
          <w:color w:val="auto"/>
          <w:sz w:val="28"/>
          <w:szCs w:val="28"/>
          <w:highlight w:val="none"/>
          <w:lang w:val="en-US" w:eastAsia="zh-CN"/>
        </w:rPr>
      </w:pPr>
    </w:p>
    <w:p w14:paraId="67C6C11D">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eastAsia="宋体"/>
          <w:b/>
          <w:bCs/>
          <w:color w:val="auto"/>
          <w:sz w:val="28"/>
          <w:szCs w:val="28"/>
          <w:highlight w:val="none"/>
          <w:lang w:val="en-US" w:eastAsia="zh-CN"/>
        </w:rPr>
      </w:pPr>
    </w:p>
    <w:p w14:paraId="1CEF2082">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标项4：</w:t>
      </w:r>
    </w:p>
    <w:p w14:paraId="6EC614C4">
      <w:pPr>
        <w:pStyle w:val="4"/>
        <w:rPr>
          <w:rFonts w:hint="eastAsia"/>
          <w:color w:val="auto"/>
          <w:highlight w:val="none"/>
          <w:lang w:val="en-US" w:eastAsia="zh-CN"/>
        </w:rPr>
      </w:pPr>
    </w:p>
    <w:tbl>
      <w:tblPr>
        <w:tblStyle w:val="20"/>
        <w:tblW w:w="97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1132"/>
        <w:gridCol w:w="742"/>
        <w:gridCol w:w="6777"/>
        <w:gridCol w:w="530"/>
      </w:tblGrid>
      <w:tr w14:paraId="083E2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5" w:hRule="atLeast"/>
          <w:jc w:val="center"/>
        </w:trPr>
        <w:tc>
          <w:tcPr>
            <w:tcW w:w="573" w:type="dxa"/>
            <w:vAlign w:val="center"/>
          </w:tcPr>
          <w:p w14:paraId="0FF9E039">
            <w:pPr>
              <w:pStyle w:val="21"/>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序号</w:t>
            </w:r>
          </w:p>
        </w:tc>
        <w:tc>
          <w:tcPr>
            <w:tcW w:w="1132" w:type="dxa"/>
            <w:vAlign w:val="center"/>
          </w:tcPr>
          <w:p w14:paraId="72987E30">
            <w:pPr>
              <w:pStyle w:val="21"/>
              <w:spacing w:before="109" w:line="210" w:lineRule="auto"/>
              <w:jc w:val="center"/>
              <w:outlineLvl w:val="1"/>
              <w:rPr>
                <w:color w:val="auto"/>
                <w:sz w:val="23"/>
                <w:szCs w:val="23"/>
                <w:highlight w:val="none"/>
              </w:rPr>
            </w:pPr>
            <w:r>
              <w:rPr>
                <w:rFonts w:hint="eastAsia" w:ascii="仿宋" w:hAnsi="仿宋" w:eastAsia="仿宋" w:cs="仿宋"/>
                <w:color w:val="auto"/>
                <w:sz w:val="22"/>
                <w:szCs w:val="22"/>
                <w:highlight w:val="none"/>
                <w:lang w:val="en-US" w:eastAsia="zh-CN"/>
              </w:rPr>
              <w:t>评分因素</w:t>
            </w:r>
          </w:p>
        </w:tc>
        <w:tc>
          <w:tcPr>
            <w:tcW w:w="742" w:type="dxa"/>
            <w:vAlign w:val="center"/>
          </w:tcPr>
          <w:p w14:paraId="0F7976A9">
            <w:pPr>
              <w:pStyle w:val="21"/>
              <w:spacing w:before="109" w:line="210" w:lineRule="auto"/>
              <w:jc w:val="center"/>
              <w:outlineLvl w:val="1"/>
              <w:rPr>
                <w:color w:val="auto"/>
                <w:sz w:val="23"/>
                <w:szCs w:val="23"/>
                <w:highlight w:val="none"/>
              </w:rPr>
            </w:pPr>
            <w:r>
              <w:rPr>
                <w:rFonts w:hint="eastAsia" w:ascii="仿宋" w:hAnsi="仿宋" w:eastAsia="仿宋" w:cs="仿宋"/>
                <w:color w:val="auto"/>
                <w:sz w:val="22"/>
                <w:szCs w:val="22"/>
                <w:highlight w:val="none"/>
                <w:lang w:val="en-US" w:eastAsia="zh-CN"/>
              </w:rPr>
              <w:t>分值</w:t>
            </w:r>
          </w:p>
        </w:tc>
        <w:tc>
          <w:tcPr>
            <w:tcW w:w="6777" w:type="dxa"/>
            <w:vAlign w:val="center"/>
          </w:tcPr>
          <w:p w14:paraId="12357362">
            <w:pPr>
              <w:pStyle w:val="21"/>
              <w:spacing w:before="109" w:line="210" w:lineRule="auto"/>
              <w:jc w:val="center"/>
              <w:outlineLvl w:val="1"/>
              <w:rPr>
                <w:color w:val="auto"/>
                <w:sz w:val="23"/>
                <w:szCs w:val="23"/>
                <w:highlight w:val="none"/>
              </w:rPr>
            </w:pPr>
            <w:r>
              <w:rPr>
                <w:rFonts w:hint="eastAsia" w:ascii="仿宋" w:hAnsi="仿宋" w:eastAsia="仿宋" w:cs="仿宋"/>
                <w:color w:val="auto"/>
                <w:sz w:val="22"/>
                <w:szCs w:val="22"/>
                <w:highlight w:val="none"/>
                <w:lang w:val="en-US" w:eastAsia="zh-CN"/>
              </w:rPr>
              <w:t>评分标准</w:t>
            </w:r>
          </w:p>
        </w:tc>
        <w:tc>
          <w:tcPr>
            <w:tcW w:w="530" w:type="dxa"/>
            <w:vAlign w:val="center"/>
          </w:tcPr>
          <w:p w14:paraId="1B1897C5">
            <w:pPr>
              <w:pStyle w:val="21"/>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备注</w:t>
            </w:r>
          </w:p>
        </w:tc>
      </w:tr>
      <w:tr w14:paraId="44E73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jc w:val="center"/>
        </w:trPr>
        <w:tc>
          <w:tcPr>
            <w:tcW w:w="573" w:type="dxa"/>
            <w:vAlign w:val="center"/>
          </w:tcPr>
          <w:p w14:paraId="42547A71">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132" w:type="dxa"/>
            <w:vAlign w:val="center"/>
          </w:tcPr>
          <w:p w14:paraId="05C595BB">
            <w:pPr>
              <w:pStyle w:val="21"/>
              <w:spacing w:before="280" w:line="24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投标人</w:t>
            </w:r>
            <w:r>
              <w:rPr>
                <w:rFonts w:hint="eastAsia" w:ascii="仿宋" w:hAnsi="仿宋" w:eastAsia="仿宋" w:cs="仿宋"/>
                <w:color w:val="auto"/>
                <w:spacing w:val="4"/>
                <w:sz w:val="21"/>
                <w:szCs w:val="21"/>
                <w:highlight w:val="none"/>
              </w:rPr>
              <w:t>近三年</w:t>
            </w:r>
            <w:r>
              <w:rPr>
                <w:rFonts w:hint="eastAsia" w:ascii="仿宋" w:hAnsi="仿宋" w:eastAsia="仿宋" w:cs="仿宋"/>
                <w:color w:val="auto"/>
                <w:spacing w:val="3"/>
                <w:sz w:val="21"/>
                <w:szCs w:val="21"/>
                <w:highlight w:val="none"/>
              </w:rPr>
              <w:t>业绩</w:t>
            </w:r>
          </w:p>
        </w:tc>
        <w:tc>
          <w:tcPr>
            <w:tcW w:w="742" w:type="dxa"/>
            <w:vAlign w:val="center"/>
          </w:tcPr>
          <w:p w14:paraId="57336AEE">
            <w:pPr>
              <w:pStyle w:val="21"/>
              <w:spacing w:before="74" w:line="24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10分</w:t>
            </w:r>
          </w:p>
        </w:tc>
        <w:tc>
          <w:tcPr>
            <w:tcW w:w="6777" w:type="dxa"/>
            <w:vAlign w:val="center"/>
          </w:tcPr>
          <w:p w14:paraId="7C5F0747">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投标单位近三年（投标截止日前三年）每提供一项业绩得2分，满分为10分。（业绩证明材料需提供合同</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以上材料均须复印件加盖供应商公章，业绩证明材料提供齐全视为有效业绩，未提供或提供不齐全视为无效业绩不得分。</w:t>
            </w:r>
          </w:p>
        </w:tc>
        <w:tc>
          <w:tcPr>
            <w:tcW w:w="530" w:type="dxa"/>
            <w:vAlign w:val="top"/>
          </w:tcPr>
          <w:p w14:paraId="306D2071">
            <w:pPr>
              <w:rPr>
                <w:rFonts w:ascii="Arial"/>
                <w:color w:val="auto"/>
                <w:sz w:val="21"/>
                <w:highlight w:val="none"/>
              </w:rPr>
            </w:pPr>
          </w:p>
        </w:tc>
      </w:tr>
      <w:tr w14:paraId="1DB9C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jc w:val="center"/>
        </w:trPr>
        <w:tc>
          <w:tcPr>
            <w:tcW w:w="573" w:type="dxa"/>
            <w:vAlign w:val="center"/>
          </w:tcPr>
          <w:p w14:paraId="18C70094">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132" w:type="dxa"/>
            <w:vAlign w:val="center"/>
          </w:tcPr>
          <w:p w14:paraId="328B5D5A">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车辆</w:t>
            </w:r>
            <w:r>
              <w:rPr>
                <w:rFonts w:hint="eastAsia" w:ascii="仿宋" w:hAnsi="仿宋" w:eastAsia="仿宋" w:cs="仿宋"/>
                <w:color w:val="auto"/>
                <w:sz w:val="21"/>
                <w:szCs w:val="21"/>
                <w:highlight w:val="none"/>
                <w:lang w:val="en-US" w:eastAsia="zh-CN"/>
              </w:rPr>
              <w:t>配</w:t>
            </w:r>
            <w:r>
              <w:rPr>
                <w:rFonts w:hint="eastAsia" w:ascii="仿宋" w:hAnsi="仿宋" w:eastAsia="仿宋" w:cs="仿宋"/>
                <w:color w:val="auto"/>
                <w:sz w:val="21"/>
                <w:szCs w:val="21"/>
                <w:highlight w:val="none"/>
              </w:rPr>
              <w:t>备</w:t>
            </w:r>
          </w:p>
        </w:tc>
        <w:tc>
          <w:tcPr>
            <w:tcW w:w="742" w:type="dxa"/>
            <w:vAlign w:val="center"/>
          </w:tcPr>
          <w:p w14:paraId="32477006">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777" w:type="dxa"/>
            <w:vAlign w:val="top"/>
          </w:tcPr>
          <w:p w14:paraId="63597DDF">
            <w:pPr>
              <w:pStyle w:val="21"/>
              <w:spacing w:before="175" w:line="240" w:lineRule="auto"/>
              <w:ind w:left="119"/>
              <w:outlineLvl w:val="1"/>
              <w:rPr>
                <w:rFonts w:hint="eastAsia" w:ascii="仿宋" w:hAnsi="仿宋" w:eastAsia="仿宋" w:cs="仿宋"/>
                <w:color w:val="auto"/>
                <w:sz w:val="21"/>
                <w:szCs w:val="21"/>
                <w:highlight w:val="none"/>
              </w:rPr>
            </w:pPr>
            <w:r>
              <w:rPr>
                <w:rFonts w:hint="eastAsia" w:ascii="仿宋" w:hAnsi="仿宋" w:eastAsia="仿宋" w:cs="仿宋"/>
                <w:color w:val="auto"/>
                <w:spacing w:val="7"/>
                <w:sz w:val="21"/>
                <w:szCs w:val="21"/>
                <w:highlight w:val="none"/>
              </w:rPr>
              <w:t>供应商配备轻型或中型载货汽车一辆加2分，最多加10分。（自</w:t>
            </w:r>
            <w:r>
              <w:rPr>
                <w:rFonts w:hint="eastAsia" w:ascii="仿宋" w:hAnsi="仿宋" w:eastAsia="仿宋" w:cs="仿宋"/>
                <w:color w:val="auto"/>
                <w:spacing w:val="8"/>
                <w:sz w:val="21"/>
                <w:szCs w:val="21"/>
                <w:highlight w:val="none"/>
              </w:rPr>
              <w:t>有车辆提供相应的行车证、非公司自有车辆提供相应的行车证及车辆租赁合同为证明材料，否则不得分）</w:t>
            </w:r>
          </w:p>
        </w:tc>
        <w:tc>
          <w:tcPr>
            <w:tcW w:w="530" w:type="dxa"/>
            <w:vAlign w:val="top"/>
          </w:tcPr>
          <w:p w14:paraId="17413086">
            <w:pPr>
              <w:rPr>
                <w:rFonts w:ascii="Arial"/>
                <w:color w:val="auto"/>
                <w:sz w:val="21"/>
                <w:highlight w:val="none"/>
              </w:rPr>
            </w:pPr>
          </w:p>
        </w:tc>
      </w:tr>
      <w:tr w14:paraId="7A191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jc w:val="center"/>
        </w:trPr>
        <w:tc>
          <w:tcPr>
            <w:tcW w:w="573" w:type="dxa"/>
            <w:vAlign w:val="center"/>
          </w:tcPr>
          <w:p w14:paraId="40D6D055">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132" w:type="dxa"/>
            <w:vAlign w:val="center"/>
          </w:tcPr>
          <w:p w14:paraId="188B924D">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人员配备</w:t>
            </w:r>
          </w:p>
        </w:tc>
        <w:tc>
          <w:tcPr>
            <w:tcW w:w="742" w:type="dxa"/>
            <w:vAlign w:val="center"/>
          </w:tcPr>
          <w:p w14:paraId="7870C9BB">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15分</w:t>
            </w:r>
          </w:p>
        </w:tc>
        <w:tc>
          <w:tcPr>
            <w:tcW w:w="6777" w:type="dxa"/>
            <w:vAlign w:val="center"/>
          </w:tcPr>
          <w:p w14:paraId="3C3E8A32">
            <w:pPr>
              <w:pStyle w:val="21"/>
              <w:spacing w:before="53" w:line="240" w:lineRule="auto"/>
              <w:ind w:left="118"/>
              <w:jc w:val="left"/>
              <w:outlineLvl w:val="1"/>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rPr>
              <w:t>对应每辆货车应配备驾驶员1人、装卸打包人员2人。以上人员</w:t>
            </w:r>
            <w:r>
              <w:rPr>
                <w:rFonts w:hint="eastAsia" w:ascii="仿宋" w:hAnsi="仿宋" w:eastAsia="仿宋" w:cs="仿宋"/>
                <w:color w:val="auto"/>
                <w:spacing w:val="7"/>
                <w:sz w:val="21"/>
                <w:szCs w:val="21"/>
                <w:highlight w:val="none"/>
              </w:rPr>
              <w:t>配备齐全，每三人为一组，每组3分，最得15分（提供相应的身</w:t>
            </w:r>
            <w:r>
              <w:rPr>
                <w:rFonts w:hint="eastAsia" w:ascii="仿宋" w:hAnsi="仿宋" w:eastAsia="仿宋" w:cs="仿宋"/>
                <w:color w:val="auto"/>
                <w:spacing w:val="8"/>
                <w:sz w:val="21"/>
                <w:szCs w:val="21"/>
                <w:highlight w:val="none"/>
              </w:rPr>
              <w:t>份证、驾驶证作为证明材料，否则不得分</w:t>
            </w:r>
            <w:r>
              <w:rPr>
                <w:rFonts w:hint="eastAsia" w:ascii="仿宋" w:hAnsi="仿宋" w:eastAsia="仿宋" w:cs="仿宋"/>
                <w:color w:val="auto"/>
                <w:spacing w:val="8"/>
                <w:sz w:val="21"/>
                <w:szCs w:val="21"/>
                <w:highlight w:val="none"/>
                <w:lang w:eastAsia="zh-CN"/>
              </w:rPr>
              <w:t>。</w:t>
            </w:r>
            <w:r>
              <w:rPr>
                <w:rFonts w:hint="eastAsia" w:ascii="仿宋" w:hAnsi="仿宋" w:eastAsia="仿宋" w:cs="仿宋"/>
                <w:color w:val="auto"/>
                <w:spacing w:val="8"/>
                <w:sz w:val="21"/>
                <w:szCs w:val="21"/>
                <w:highlight w:val="none"/>
              </w:rPr>
              <w:t>）</w:t>
            </w:r>
          </w:p>
        </w:tc>
        <w:tc>
          <w:tcPr>
            <w:tcW w:w="530" w:type="dxa"/>
            <w:vAlign w:val="top"/>
          </w:tcPr>
          <w:p w14:paraId="0859383D">
            <w:pPr>
              <w:rPr>
                <w:rFonts w:ascii="Arial"/>
                <w:color w:val="auto"/>
                <w:sz w:val="21"/>
                <w:highlight w:val="none"/>
              </w:rPr>
            </w:pPr>
          </w:p>
        </w:tc>
      </w:tr>
      <w:tr w14:paraId="412F0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0" w:hRule="atLeast"/>
          <w:jc w:val="center"/>
        </w:trPr>
        <w:tc>
          <w:tcPr>
            <w:tcW w:w="573" w:type="dxa"/>
            <w:vAlign w:val="center"/>
          </w:tcPr>
          <w:p w14:paraId="3D0241DF">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132" w:type="dxa"/>
            <w:vAlign w:val="center"/>
          </w:tcPr>
          <w:p w14:paraId="6B4DC219">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w:t>
            </w:r>
          </w:p>
          <w:p w14:paraId="4C0CF333">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w:t>
            </w:r>
          </w:p>
        </w:tc>
        <w:tc>
          <w:tcPr>
            <w:tcW w:w="742" w:type="dxa"/>
            <w:vAlign w:val="center"/>
          </w:tcPr>
          <w:p w14:paraId="552B1F6E">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65分</w:t>
            </w:r>
          </w:p>
        </w:tc>
        <w:tc>
          <w:tcPr>
            <w:tcW w:w="6777" w:type="dxa"/>
            <w:vAlign w:val="center"/>
          </w:tcPr>
          <w:p w14:paraId="6CF40EC7">
            <w:pPr>
              <w:pStyle w:val="21"/>
              <w:spacing w:before="175" w:line="240" w:lineRule="auto"/>
              <w:ind w:left="119"/>
              <w:outlineLvl w:val="1"/>
              <w:rPr>
                <w:rFonts w:hint="eastAsia" w:ascii="仿宋" w:hAnsi="仿宋" w:eastAsia="仿宋" w:cs="仿宋"/>
                <w:color w:val="auto"/>
                <w:spacing w:val="7"/>
                <w:sz w:val="21"/>
                <w:szCs w:val="21"/>
                <w:highlight w:val="none"/>
              </w:rPr>
            </w:pPr>
            <w:r>
              <w:rPr>
                <w:rFonts w:hint="eastAsia" w:ascii="仿宋" w:hAnsi="仿宋" w:eastAsia="仿宋" w:cs="仿宋"/>
                <w:color w:val="auto"/>
                <w:spacing w:val="7"/>
                <w:sz w:val="21"/>
                <w:szCs w:val="21"/>
                <w:highlight w:val="none"/>
              </w:rPr>
              <w:t>应包括</w:t>
            </w:r>
          </w:p>
          <w:p w14:paraId="0582C9C3">
            <w:pPr>
              <w:pStyle w:val="21"/>
              <w:spacing w:before="175" w:line="240" w:lineRule="auto"/>
              <w:ind w:left="119"/>
              <w:outlineLvl w:val="1"/>
              <w:rPr>
                <w:rFonts w:hint="eastAsia" w:ascii="仿宋" w:hAnsi="仿宋" w:eastAsia="仿宋" w:cs="仿宋"/>
                <w:color w:val="auto"/>
                <w:spacing w:val="7"/>
                <w:sz w:val="21"/>
                <w:szCs w:val="21"/>
                <w:highlight w:val="none"/>
                <w:lang w:eastAsia="zh-CN"/>
              </w:rPr>
            </w:pPr>
            <w:r>
              <w:rPr>
                <w:rFonts w:hint="eastAsia" w:ascii="仿宋" w:hAnsi="仿宋" w:eastAsia="仿宋" w:cs="仿宋"/>
                <w:color w:val="auto"/>
                <w:spacing w:val="7"/>
                <w:sz w:val="21"/>
                <w:szCs w:val="21"/>
                <w:highlight w:val="none"/>
              </w:rPr>
              <w:t>（1）安全管理措施（20分）</w:t>
            </w:r>
            <w:r>
              <w:rPr>
                <w:rFonts w:hint="eastAsia" w:ascii="仿宋" w:hAnsi="仿宋" w:eastAsia="仿宋" w:cs="仿宋"/>
                <w:color w:val="auto"/>
                <w:spacing w:val="7"/>
                <w:sz w:val="21"/>
                <w:szCs w:val="21"/>
                <w:highlight w:val="none"/>
                <w:lang w:eastAsia="zh-CN"/>
              </w:rPr>
              <w:t>；</w:t>
            </w:r>
          </w:p>
          <w:p w14:paraId="73DCC5A0">
            <w:pPr>
              <w:pStyle w:val="21"/>
              <w:spacing w:before="175" w:line="240" w:lineRule="auto"/>
              <w:ind w:left="119"/>
              <w:outlineLvl w:val="1"/>
              <w:rPr>
                <w:rFonts w:hint="eastAsia" w:ascii="仿宋" w:hAnsi="仿宋" w:eastAsia="仿宋" w:cs="仿宋"/>
                <w:color w:val="auto"/>
                <w:spacing w:val="7"/>
                <w:sz w:val="21"/>
                <w:szCs w:val="21"/>
                <w:highlight w:val="none"/>
                <w:lang w:eastAsia="zh-CN"/>
              </w:rPr>
            </w:pPr>
            <w:r>
              <w:rPr>
                <w:rFonts w:hint="eastAsia" w:ascii="仿宋" w:hAnsi="仿宋" w:eastAsia="仿宋" w:cs="仿宋"/>
                <w:color w:val="auto"/>
                <w:spacing w:val="7"/>
                <w:sz w:val="21"/>
                <w:szCs w:val="21"/>
                <w:highlight w:val="none"/>
              </w:rPr>
              <w:t>（2）拆装打包方案（15分）</w:t>
            </w:r>
            <w:r>
              <w:rPr>
                <w:rFonts w:hint="eastAsia" w:ascii="仿宋" w:hAnsi="仿宋" w:eastAsia="仿宋" w:cs="仿宋"/>
                <w:color w:val="auto"/>
                <w:spacing w:val="7"/>
                <w:sz w:val="21"/>
                <w:szCs w:val="21"/>
                <w:highlight w:val="none"/>
                <w:lang w:eastAsia="zh-CN"/>
              </w:rPr>
              <w:t>；</w:t>
            </w:r>
          </w:p>
          <w:p w14:paraId="2E590887">
            <w:pPr>
              <w:pStyle w:val="21"/>
              <w:spacing w:before="175" w:line="240" w:lineRule="auto"/>
              <w:ind w:left="119"/>
              <w:outlineLvl w:val="1"/>
              <w:rPr>
                <w:rFonts w:hint="eastAsia" w:ascii="仿宋" w:hAnsi="仿宋" w:eastAsia="仿宋" w:cs="仿宋"/>
                <w:color w:val="auto"/>
                <w:spacing w:val="7"/>
                <w:sz w:val="21"/>
                <w:szCs w:val="21"/>
                <w:highlight w:val="none"/>
                <w:lang w:eastAsia="zh-CN"/>
              </w:rPr>
            </w:pPr>
            <w:r>
              <w:rPr>
                <w:rFonts w:hint="eastAsia" w:ascii="仿宋" w:hAnsi="仿宋" w:eastAsia="仿宋" w:cs="仿宋"/>
                <w:color w:val="auto"/>
                <w:spacing w:val="7"/>
                <w:sz w:val="21"/>
                <w:szCs w:val="21"/>
                <w:highlight w:val="none"/>
              </w:rPr>
              <w:t>（3）运输方案（15分）</w:t>
            </w:r>
            <w:r>
              <w:rPr>
                <w:rFonts w:hint="eastAsia" w:ascii="仿宋" w:hAnsi="仿宋" w:eastAsia="仿宋" w:cs="仿宋"/>
                <w:color w:val="auto"/>
                <w:spacing w:val="7"/>
                <w:sz w:val="21"/>
                <w:szCs w:val="21"/>
                <w:highlight w:val="none"/>
                <w:lang w:eastAsia="zh-CN"/>
              </w:rPr>
              <w:t>；</w:t>
            </w:r>
          </w:p>
          <w:p w14:paraId="44A1FD47">
            <w:pPr>
              <w:pStyle w:val="21"/>
              <w:spacing w:before="175" w:line="240" w:lineRule="auto"/>
              <w:ind w:left="119"/>
              <w:outlineLvl w:val="1"/>
              <w:rPr>
                <w:rFonts w:hint="eastAsia" w:ascii="仿宋" w:hAnsi="仿宋" w:eastAsia="仿宋" w:cs="仿宋"/>
                <w:color w:val="auto"/>
                <w:spacing w:val="7"/>
                <w:sz w:val="21"/>
                <w:szCs w:val="21"/>
                <w:highlight w:val="none"/>
                <w:lang w:eastAsia="zh-CN"/>
              </w:rPr>
            </w:pPr>
            <w:r>
              <w:rPr>
                <w:rFonts w:hint="eastAsia" w:ascii="仿宋" w:hAnsi="仿宋" w:eastAsia="仿宋" w:cs="仿宋"/>
                <w:color w:val="auto"/>
                <w:spacing w:val="7"/>
                <w:sz w:val="21"/>
                <w:szCs w:val="21"/>
                <w:highlight w:val="none"/>
              </w:rPr>
              <w:t>（4）装卸方案（15分）</w:t>
            </w:r>
            <w:r>
              <w:rPr>
                <w:rFonts w:hint="eastAsia" w:ascii="仿宋" w:hAnsi="仿宋" w:eastAsia="仿宋" w:cs="仿宋"/>
                <w:color w:val="auto"/>
                <w:spacing w:val="7"/>
                <w:sz w:val="21"/>
                <w:szCs w:val="21"/>
                <w:highlight w:val="none"/>
                <w:lang w:eastAsia="zh-CN"/>
              </w:rPr>
              <w:t>；</w:t>
            </w:r>
          </w:p>
          <w:p w14:paraId="1680B5F8">
            <w:pPr>
              <w:pStyle w:val="21"/>
              <w:spacing w:before="175" w:line="240" w:lineRule="auto"/>
              <w:ind w:left="119"/>
              <w:outlineLvl w:val="1"/>
              <w:rPr>
                <w:rFonts w:hint="eastAsia" w:ascii="仿宋" w:hAnsi="仿宋" w:eastAsia="仿宋" w:cs="仿宋"/>
                <w:color w:val="auto"/>
                <w:spacing w:val="7"/>
                <w:sz w:val="21"/>
                <w:szCs w:val="21"/>
                <w:highlight w:val="none"/>
              </w:rPr>
            </w:pPr>
            <w:r>
              <w:rPr>
                <w:rFonts w:hint="eastAsia" w:ascii="仿宋" w:hAnsi="仿宋" w:eastAsia="仿宋" w:cs="仿宋"/>
                <w:color w:val="auto"/>
                <w:spacing w:val="7"/>
                <w:sz w:val="21"/>
                <w:szCs w:val="21"/>
                <w:highlight w:val="none"/>
              </w:rPr>
              <w:t>以上每项内容描述思路清晰、有针对性、内容完整、科学合理、符合本项目特点得满分。</w:t>
            </w:r>
          </w:p>
          <w:p w14:paraId="1C01E277">
            <w:pPr>
              <w:pStyle w:val="21"/>
              <w:spacing w:before="175" w:line="240" w:lineRule="auto"/>
              <w:ind w:left="119"/>
              <w:outlineLvl w:val="1"/>
              <w:rPr>
                <w:rFonts w:hint="eastAsia" w:ascii="仿宋" w:hAnsi="仿宋" w:eastAsia="仿宋" w:cs="仿宋"/>
                <w:color w:val="auto"/>
                <w:spacing w:val="7"/>
                <w:sz w:val="21"/>
                <w:szCs w:val="21"/>
                <w:highlight w:val="none"/>
              </w:rPr>
            </w:pPr>
            <w:r>
              <w:rPr>
                <w:rFonts w:hint="eastAsia" w:ascii="仿宋" w:hAnsi="仿宋" w:eastAsia="仿宋" w:cs="仿宋"/>
                <w:color w:val="auto"/>
                <w:spacing w:val="7"/>
                <w:sz w:val="21"/>
                <w:szCs w:val="21"/>
                <w:highlight w:val="none"/>
              </w:rPr>
              <w:t>每存在一处描述不合理或不明确或针对性不强的扣1分，扣完为止</w:t>
            </w:r>
            <w:r>
              <w:rPr>
                <w:rFonts w:hint="eastAsia" w:ascii="仿宋" w:hAnsi="仿宋" w:eastAsia="仿宋" w:cs="仿宋"/>
                <w:color w:val="auto"/>
                <w:spacing w:val="7"/>
                <w:sz w:val="21"/>
                <w:szCs w:val="21"/>
                <w:highlight w:val="none"/>
                <w:lang w:eastAsia="zh-CN"/>
              </w:rPr>
              <w:t>，</w:t>
            </w:r>
            <w:r>
              <w:rPr>
                <w:rFonts w:hint="eastAsia" w:ascii="仿宋" w:hAnsi="仿宋" w:eastAsia="仿宋" w:cs="仿宋"/>
                <w:color w:val="auto"/>
                <w:spacing w:val="7"/>
                <w:sz w:val="21"/>
                <w:szCs w:val="21"/>
                <w:highlight w:val="none"/>
              </w:rPr>
              <w:t>缺项则该项不得分。</w:t>
            </w:r>
          </w:p>
        </w:tc>
        <w:tc>
          <w:tcPr>
            <w:tcW w:w="530" w:type="dxa"/>
            <w:vAlign w:val="top"/>
          </w:tcPr>
          <w:p w14:paraId="73644DAB">
            <w:pPr>
              <w:rPr>
                <w:rFonts w:ascii="Arial"/>
                <w:color w:val="auto"/>
                <w:sz w:val="21"/>
                <w:highlight w:val="none"/>
              </w:rPr>
            </w:pPr>
          </w:p>
        </w:tc>
      </w:tr>
    </w:tbl>
    <w:p w14:paraId="14737E80">
      <w:pPr>
        <w:pStyle w:val="4"/>
        <w:rPr>
          <w:rFonts w:hint="eastAsia" w:eastAsia="宋体"/>
          <w:b/>
          <w:bCs/>
          <w:color w:val="auto"/>
          <w:sz w:val="28"/>
          <w:szCs w:val="28"/>
          <w:highlight w:val="none"/>
          <w:lang w:val="en-US" w:eastAsia="zh-CN"/>
        </w:rPr>
      </w:pPr>
    </w:p>
    <w:p w14:paraId="50EEF42F">
      <w:pPr>
        <w:pStyle w:val="4"/>
        <w:rPr>
          <w:rFonts w:hint="eastAsia" w:eastAsia="宋体"/>
          <w:b/>
          <w:bCs/>
          <w:color w:val="auto"/>
          <w:sz w:val="28"/>
          <w:szCs w:val="28"/>
          <w:highlight w:val="none"/>
          <w:lang w:val="en-US" w:eastAsia="zh-CN"/>
        </w:rPr>
      </w:pPr>
    </w:p>
    <w:p w14:paraId="76A210E0">
      <w:pPr>
        <w:pStyle w:val="4"/>
        <w:rPr>
          <w:rFonts w:hint="eastAsia" w:eastAsia="宋体"/>
          <w:b/>
          <w:bCs/>
          <w:color w:val="auto"/>
          <w:sz w:val="28"/>
          <w:szCs w:val="28"/>
          <w:highlight w:val="none"/>
          <w:lang w:val="en-US" w:eastAsia="zh-CN"/>
        </w:rPr>
      </w:pPr>
    </w:p>
    <w:p w14:paraId="0CC779A9">
      <w:pPr>
        <w:pStyle w:val="4"/>
        <w:rPr>
          <w:rFonts w:hint="eastAsia" w:eastAsia="宋体"/>
          <w:b/>
          <w:bCs/>
          <w:color w:val="auto"/>
          <w:sz w:val="28"/>
          <w:szCs w:val="28"/>
          <w:highlight w:val="none"/>
          <w:lang w:val="en-US" w:eastAsia="zh-CN"/>
        </w:rPr>
      </w:pPr>
    </w:p>
    <w:p w14:paraId="54BA04AC">
      <w:pPr>
        <w:pStyle w:val="4"/>
        <w:rPr>
          <w:rFonts w:hint="eastAsia" w:eastAsia="宋体"/>
          <w:b/>
          <w:bCs/>
          <w:color w:val="auto"/>
          <w:sz w:val="28"/>
          <w:szCs w:val="28"/>
          <w:highlight w:val="none"/>
          <w:lang w:val="en-US" w:eastAsia="zh-CN"/>
        </w:rPr>
      </w:pPr>
    </w:p>
    <w:p w14:paraId="7A499BD9">
      <w:pPr>
        <w:pStyle w:val="4"/>
        <w:rPr>
          <w:rFonts w:hint="eastAsia" w:eastAsia="宋体"/>
          <w:b/>
          <w:bCs/>
          <w:color w:val="auto"/>
          <w:sz w:val="28"/>
          <w:szCs w:val="28"/>
          <w:highlight w:val="none"/>
          <w:lang w:val="en-US" w:eastAsia="zh-CN"/>
        </w:rPr>
      </w:pPr>
    </w:p>
    <w:p w14:paraId="0296CED9">
      <w:pPr>
        <w:pStyle w:val="4"/>
        <w:rPr>
          <w:rFonts w:hint="eastAsia" w:eastAsia="宋体"/>
          <w:b/>
          <w:bCs/>
          <w:color w:val="auto"/>
          <w:sz w:val="28"/>
          <w:szCs w:val="28"/>
          <w:highlight w:val="none"/>
          <w:lang w:val="en-US" w:eastAsia="zh-CN"/>
        </w:rPr>
      </w:pPr>
    </w:p>
    <w:p w14:paraId="1F38B6C8">
      <w:pPr>
        <w:pStyle w:val="4"/>
        <w:rPr>
          <w:rFonts w:hint="eastAsia" w:eastAsia="宋体"/>
          <w:b/>
          <w:bCs/>
          <w:color w:val="auto"/>
          <w:sz w:val="28"/>
          <w:szCs w:val="28"/>
          <w:highlight w:val="none"/>
          <w:lang w:val="en-US" w:eastAsia="zh-CN"/>
        </w:rPr>
      </w:pPr>
    </w:p>
    <w:p w14:paraId="10B0712B">
      <w:pPr>
        <w:pStyle w:val="4"/>
        <w:rPr>
          <w:rFonts w:hint="eastAsia" w:eastAsia="宋体"/>
          <w:b/>
          <w:bCs/>
          <w:color w:val="auto"/>
          <w:sz w:val="28"/>
          <w:szCs w:val="28"/>
          <w:highlight w:val="none"/>
          <w:lang w:val="en-US" w:eastAsia="zh-CN"/>
        </w:rPr>
      </w:pPr>
    </w:p>
    <w:p w14:paraId="41D645FE">
      <w:pPr>
        <w:pStyle w:val="4"/>
        <w:rPr>
          <w:rFonts w:hint="eastAsia" w:eastAsia="宋体"/>
          <w:b/>
          <w:bCs/>
          <w:color w:val="auto"/>
          <w:sz w:val="28"/>
          <w:szCs w:val="28"/>
          <w:highlight w:val="none"/>
          <w:lang w:val="en-US" w:eastAsia="zh-CN"/>
        </w:rPr>
      </w:pPr>
    </w:p>
    <w:p w14:paraId="63409304">
      <w:pPr>
        <w:pStyle w:val="4"/>
        <w:rPr>
          <w:rFonts w:hint="eastAsia" w:eastAsia="宋体"/>
          <w:b/>
          <w:bCs/>
          <w:color w:val="auto"/>
          <w:sz w:val="28"/>
          <w:szCs w:val="28"/>
          <w:highlight w:val="none"/>
          <w:lang w:val="en-US" w:eastAsia="zh-CN"/>
        </w:rPr>
      </w:pPr>
    </w:p>
    <w:p w14:paraId="152E3AFD">
      <w:pPr>
        <w:pStyle w:val="4"/>
        <w:rPr>
          <w:rFonts w:hint="eastAsia" w:eastAsia="宋体"/>
          <w:b/>
          <w:bCs/>
          <w:color w:val="auto"/>
          <w:sz w:val="28"/>
          <w:szCs w:val="28"/>
          <w:highlight w:val="none"/>
          <w:lang w:val="en-US" w:eastAsia="zh-CN"/>
        </w:rPr>
      </w:pPr>
    </w:p>
    <w:p w14:paraId="229F0E9F">
      <w:pPr>
        <w:pStyle w:val="4"/>
        <w:rPr>
          <w:rFonts w:hint="eastAsia" w:eastAsia="宋体"/>
          <w:b/>
          <w:bCs/>
          <w:color w:val="auto"/>
          <w:sz w:val="28"/>
          <w:szCs w:val="28"/>
          <w:highlight w:val="none"/>
          <w:lang w:val="en-US" w:eastAsia="zh-CN"/>
        </w:rPr>
      </w:pPr>
    </w:p>
    <w:p w14:paraId="3FB2971D">
      <w:pPr>
        <w:pStyle w:val="4"/>
        <w:rPr>
          <w:rFonts w:hint="eastAsia" w:eastAsia="宋体"/>
          <w:b/>
          <w:bCs/>
          <w:color w:val="auto"/>
          <w:sz w:val="28"/>
          <w:szCs w:val="28"/>
          <w:highlight w:val="none"/>
          <w:lang w:val="en-US" w:eastAsia="zh-CN"/>
        </w:rPr>
      </w:pPr>
    </w:p>
    <w:p w14:paraId="626F19F3">
      <w:pPr>
        <w:pStyle w:val="4"/>
        <w:rPr>
          <w:rFonts w:hint="eastAsia" w:eastAsia="宋体"/>
          <w:b/>
          <w:bCs/>
          <w:color w:val="auto"/>
          <w:sz w:val="28"/>
          <w:szCs w:val="28"/>
          <w:highlight w:val="none"/>
          <w:lang w:val="en-US" w:eastAsia="zh-CN"/>
        </w:rPr>
      </w:pPr>
    </w:p>
    <w:p w14:paraId="079C621E">
      <w:pPr>
        <w:pStyle w:val="4"/>
        <w:rPr>
          <w:rFonts w:hint="eastAsia" w:eastAsia="宋体"/>
          <w:b/>
          <w:bCs/>
          <w:color w:val="auto"/>
          <w:sz w:val="28"/>
          <w:szCs w:val="28"/>
          <w:highlight w:val="none"/>
          <w:lang w:val="en-US" w:eastAsia="zh-CN"/>
        </w:rPr>
      </w:pPr>
    </w:p>
    <w:p w14:paraId="68887D7E">
      <w:pPr>
        <w:pStyle w:val="4"/>
        <w:rPr>
          <w:rFonts w:hint="eastAsia" w:eastAsia="宋体"/>
          <w:b/>
          <w:bCs/>
          <w:color w:val="auto"/>
          <w:sz w:val="28"/>
          <w:szCs w:val="28"/>
          <w:highlight w:val="none"/>
          <w:lang w:val="en-US" w:eastAsia="zh-CN"/>
        </w:rPr>
      </w:pPr>
    </w:p>
    <w:p w14:paraId="116E540D">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标项5：</w:t>
      </w:r>
    </w:p>
    <w:p w14:paraId="0F0156C4">
      <w:pPr>
        <w:pStyle w:val="4"/>
        <w:rPr>
          <w:rFonts w:hint="eastAsia" w:eastAsia="宋体"/>
          <w:b/>
          <w:bCs/>
          <w:color w:val="auto"/>
          <w:sz w:val="28"/>
          <w:szCs w:val="28"/>
          <w:highlight w:val="none"/>
          <w:lang w:val="en-US" w:eastAsia="zh-CN"/>
        </w:rPr>
      </w:pPr>
    </w:p>
    <w:tbl>
      <w:tblPr>
        <w:tblStyle w:val="20"/>
        <w:tblW w:w="1004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1225"/>
        <w:gridCol w:w="711"/>
        <w:gridCol w:w="6778"/>
        <w:gridCol w:w="682"/>
      </w:tblGrid>
      <w:tr w14:paraId="1EC0A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646" w:type="dxa"/>
            <w:vAlign w:val="center"/>
          </w:tcPr>
          <w:p w14:paraId="401589E6">
            <w:pPr>
              <w:pStyle w:val="21"/>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序号</w:t>
            </w:r>
          </w:p>
        </w:tc>
        <w:tc>
          <w:tcPr>
            <w:tcW w:w="1225" w:type="dxa"/>
            <w:vAlign w:val="center"/>
          </w:tcPr>
          <w:p w14:paraId="31D07B49">
            <w:pPr>
              <w:pStyle w:val="21"/>
              <w:spacing w:before="109" w:line="210" w:lineRule="auto"/>
              <w:jc w:val="center"/>
              <w:outlineLvl w:val="1"/>
              <w:rPr>
                <w:color w:val="auto"/>
                <w:sz w:val="23"/>
                <w:szCs w:val="23"/>
                <w:highlight w:val="none"/>
              </w:rPr>
            </w:pPr>
            <w:r>
              <w:rPr>
                <w:rFonts w:hint="eastAsia" w:ascii="仿宋" w:hAnsi="仿宋" w:eastAsia="仿宋" w:cs="仿宋"/>
                <w:color w:val="auto"/>
                <w:sz w:val="22"/>
                <w:szCs w:val="22"/>
                <w:highlight w:val="none"/>
                <w:lang w:val="en-US" w:eastAsia="zh-CN"/>
              </w:rPr>
              <w:t>评分因素</w:t>
            </w:r>
          </w:p>
        </w:tc>
        <w:tc>
          <w:tcPr>
            <w:tcW w:w="711" w:type="dxa"/>
            <w:vAlign w:val="center"/>
          </w:tcPr>
          <w:p w14:paraId="449188F7">
            <w:pPr>
              <w:pStyle w:val="21"/>
              <w:spacing w:before="109" w:line="210" w:lineRule="auto"/>
              <w:jc w:val="center"/>
              <w:outlineLvl w:val="1"/>
              <w:rPr>
                <w:color w:val="auto"/>
                <w:sz w:val="23"/>
                <w:szCs w:val="23"/>
                <w:highlight w:val="none"/>
              </w:rPr>
            </w:pPr>
            <w:r>
              <w:rPr>
                <w:rFonts w:hint="eastAsia" w:ascii="仿宋" w:hAnsi="仿宋" w:eastAsia="仿宋" w:cs="仿宋"/>
                <w:color w:val="auto"/>
                <w:sz w:val="22"/>
                <w:szCs w:val="22"/>
                <w:highlight w:val="none"/>
                <w:lang w:val="en-US" w:eastAsia="zh-CN"/>
              </w:rPr>
              <w:t>分值</w:t>
            </w:r>
          </w:p>
        </w:tc>
        <w:tc>
          <w:tcPr>
            <w:tcW w:w="6778" w:type="dxa"/>
            <w:vAlign w:val="center"/>
          </w:tcPr>
          <w:p w14:paraId="4466B99F">
            <w:pPr>
              <w:pStyle w:val="21"/>
              <w:spacing w:before="109" w:line="210" w:lineRule="auto"/>
              <w:jc w:val="center"/>
              <w:outlineLvl w:val="1"/>
              <w:rPr>
                <w:color w:val="auto"/>
                <w:sz w:val="23"/>
                <w:szCs w:val="23"/>
                <w:highlight w:val="none"/>
              </w:rPr>
            </w:pPr>
            <w:r>
              <w:rPr>
                <w:rFonts w:hint="eastAsia" w:ascii="仿宋" w:hAnsi="仿宋" w:eastAsia="仿宋" w:cs="仿宋"/>
                <w:color w:val="auto"/>
                <w:sz w:val="22"/>
                <w:szCs w:val="22"/>
                <w:highlight w:val="none"/>
                <w:lang w:val="en-US" w:eastAsia="zh-CN"/>
              </w:rPr>
              <w:t>评分标准</w:t>
            </w:r>
          </w:p>
        </w:tc>
        <w:tc>
          <w:tcPr>
            <w:tcW w:w="682" w:type="dxa"/>
            <w:vAlign w:val="center"/>
          </w:tcPr>
          <w:p w14:paraId="2E12CC6F">
            <w:pPr>
              <w:pStyle w:val="21"/>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备注</w:t>
            </w:r>
          </w:p>
        </w:tc>
      </w:tr>
      <w:tr w14:paraId="5369F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9" w:hRule="atLeast"/>
          <w:jc w:val="center"/>
        </w:trPr>
        <w:tc>
          <w:tcPr>
            <w:tcW w:w="646" w:type="dxa"/>
            <w:vAlign w:val="top"/>
          </w:tcPr>
          <w:p w14:paraId="5E4DA8B5">
            <w:pPr>
              <w:pStyle w:val="21"/>
              <w:spacing w:before="75" w:line="189" w:lineRule="auto"/>
              <w:jc w:val="center"/>
              <w:rPr>
                <w:rFonts w:hint="eastAsia" w:ascii="仿宋" w:hAnsi="仿宋" w:eastAsia="仿宋" w:cs="仿宋"/>
                <w:color w:val="auto"/>
                <w:sz w:val="21"/>
                <w:szCs w:val="21"/>
                <w:highlight w:val="none"/>
              </w:rPr>
            </w:pPr>
          </w:p>
          <w:p w14:paraId="420AE2F7">
            <w:pPr>
              <w:pStyle w:val="21"/>
              <w:spacing w:before="75" w:line="189" w:lineRule="auto"/>
              <w:jc w:val="center"/>
              <w:rPr>
                <w:rFonts w:hint="eastAsia" w:ascii="仿宋" w:hAnsi="仿宋" w:eastAsia="仿宋" w:cs="仿宋"/>
                <w:color w:val="auto"/>
                <w:sz w:val="21"/>
                <w:szCs w:val="21"/>
                <w:highlight w:val="none"/>
              </w:rPr>
            </w:pPr>
          </w:p>
          <w:p w14:paraId="20F5A483">
            <w:pPr>
              <w:pStyle w:val="21"/>
              <w:spacing w:before="75" w:line="189" w:lineRule="auto"/>
              <w:jc w:val="center"/>
              <w:rPr>
                <w:rFonts w:hint="eastAsia" w:ascii="仿宋" w:hAnsi="仿宋" w:eastAsia="仿宋" w:cs="仿宋"/>
                <w:color w:val="auto"/>
                <w:sz w:val="21"/>
                <w:szCs w:val="21"/>
                <w:highlight w:val="none"/>
              </w:rPr>
            </w:pPr>
          </w:p>
          <w:p w14:paraId="5AF76A08">
            <w:pPr>
              <w:pStyle w:val="21"/>
              <w:spacing w:before="75" w:line="189" w:lineRule="auto"/>
              <w:jc w:val="center"/>
              <w:rPr>
                <w:rFonts w:hint="eastAsia" w:ascii="仿宋" w:hAnsi="仿宋" w:eastAsia="仿宋" w:cs="仿宋"/>
                <w:color w:val="auto"/>
                <w:sz w:val="21"/>
                <w:szCs w:val="21"/>
                <w:highlight w:val="none"/>
              </w:rPr>
            </w:pPr>
          </w:p>
          <w:p w14:paraId="29E86C0A">
            <w:pPr>
              <w:pStyle w:val="21"/>
              <w:spacing w:before="75" w:line="189" w:lineRule="auto"/>
              <w:jc w:val="center"/>
              <w:rPr>
                <w:rFonts w:hint="eastAsia" w:ascii="仿宋" w:hAnsi="仿宋" w:eastAsia="仿宋" w:cs="仿宋"/>
                <w:color w:val="auto"/>
                <w:sz w:val="21"/>
                <w:szCs w:val="21"/>
                <w:highlight w:val="none"/>
              </w:rPr>
            </w:pPr>
          </w:p>
          <w:p w14:paraId="7C140F9C">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25" w:type="dxa"/>
            <w:vAlign w:val="top"/>
          </w:tcPr>
          <w:p w14:paraId="3C60C71E">
            <w:pPr>
              <w:pStyle w:val="21"/>
              <w:spacing w:before="75" w:line="189" w:lineRule="auto"/>
              <w:jc w:val="center"/>
              <w:rPr>
                <w:rFonts w:hint="eastAsia" w:ascii="仿宋" w:hAnsi="仿宋" w:eastAsia="仿宋" w:cs="仿宋"/>
                <w:color w:val="auto"/>
                <w:sz w:val="21"/>
                <w:szCs w:val="21"/>
                <w:highlight w:val="none"/>
              </w:rPr>
            </w:pPr>
          </w:p>
          <w:p w14:paraId="5F9746CC">
            <w:pPr>
              <w:pStyle w:val="21"/>
              <w:spacing w:before="75" w:line="189" w:lineRule="auto"/>
              <w:jc w:val="center"/>
              <w:rPr>
                <w:rFonts w:hint="eastAsia" w:ascii="仿宋" w:hAnsi="仿宋" w:eastAsia="仿宋" w:cs="仿宋"/>
                <w:color w:val="auto"/>
                <w:sz w:val="21"/>
                <w:szCs w:val="21"/>
                <w:highlight w:val="none"/>
              </w:rPr>
            </w:pPr>
          </w:p>
          <w:p w14:paraId="7AD63C78">
            <w:pPr>
              <w:pStyle w:val="21"/>
              <w:spacing w:before="75" w:line="189" w:lineRule="auto"/>
              <w:jc w:val="center"/>
              <w:rPr>
                <w:rFonts w:hint="eastAsia" w:ascii="仿宋" w:hAnsi="仿宋" w:eastAsia="仿宋" w:cs="仿宋"/>
                <w:color w:val="auto"/>
                <w:sz w:val="21"/>
                <w:szCs w:val="21"/>
                <w:highlight w:val="none"/>
              </w:rPr>
            </w:pPr>
          </w:p>
          <w:p w14:paraId="1F51E35C">
            <w:pPr>
              <w:pStyle w:val="21"/>
              <w:spacing w:before="75" w:line="189" w:lineRule="auto"/>
              <w:jc w:val="center"/>
              <w:rPr>
                <w:rFonts w:hint="eastAsia" w:ascii="仿宋" w:hAnsi="仿宋" w:eastAsia="仿宋" w:cs="仿宋"/>
                <w:color w:val="auto"/>
                <w:sz w:val="21"/>
                <w:szCs w:val="21"/>
                <w:highlight w:val="none"/>
              </w:rPr>
            </w:pPr>
          </w:p>
          <w:p w14:paraId="20C799C1">
            <w:pPr>
              <w:pStyle w:val="21"/>
              <w:spacing w:before="75" w:line="189" w:lineRule="auto"/>
              <w:jc w:val="center"/>
              <w:rPr>
                <w:rFonts w:hint="eastAsia" w:ascii="仿宋" w:hAnsi="仿宋" w:eastAsia="仿宋" w:cs="仿宋"/>
                <w:color w:val="auto"/>
                <w:sz w:val="21"/>
                <w:szCs w:val="21"/>
                <w:highlight w:val="none"/>
              </w:rPr>
            </w:pPr>
          </w:p>
          <w:p w14:paraId="3F3E9E6F">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管理方案</w:t>
            </w:r>
          </w:p>
        </w:tc>
        <w:tc>
          <w:tcPr>
            <w:tcW w:w="711" w:type="dxa"/>
            <w:vAlign w:val="top"/>
          </w:tcPr>
          <w:p w14:paraId="22F48E1D">
            <w:pPr>
              <w:pStyle w:val="21"/>
              <w:spacing w:before="75" w:line="189" w:lineRule="auto"/>
              <w:jc w:val="center"/>
              <w:rPr>
                <w:rFonts w:hint="eastAsia" w:ascii="仿宋" w:hAnsi="仿宋" w:eastAsia="仿宋" w:cs="仿宋"/>
                <w:color w:val="auto"/>
                <w:sz w:val="21"/>
                <w:szCs w:val="21"/>
                <w:highlight w:val="none"/>
              </w:rPr>
            </w:pPr>
          </w:p>
          <w:p w14:paraId="36F7FCDE">
            <w:pPr>
              <w:pStyle w:val="21"/>
              <w:spacing w:before="75" w:line="189" w:lineRule="auto"/>
              <w:jc w:val="center"/>
              <w:rPr>
                <w:rFonts w:hint="eastAsia" w:ascii="仿宋" w:hAnsi="仿宋" w:eastAsia="仿宋" w:cs="仿宋"/>
                <w:color w:val="auto"/>
                <w:sz w:val="21"/>
                <w:szCs w:val="21"/>
                <w:highlight w:val="none"/>
              </w:rPr>
            </w:pPr>
          </w:p>
          <w:p w14:paraId="6F6B0A04">
            <w:pPr>
              <w:pStyle w:val="21"/>
              <w:spacing w:before="75" w:line="189" w:lineRule="auto"/>
              <w:jc w:val="center"/>
              <w:rPr>
                <w:rFonts w:hint="eastAsia" w:ascii="仿宋" w:hAnsi="仿宋" w:eastAsia="仿宋" w:cs="仿宋"/>
                <w:color w:val="auto"/>
                <w:sz w:val="21"/>
                <w:szCs w:val="21"/>
                <w:highlight w:val="none"/>
              </w:rPr>
            </w:pPr>
          </w:p>
          <w:p w14:paraId="5E3DABE0">
            <w:pPr>
              <w:pStyle w:val="21"/>
              <w:spacing w:before="75" w:line="189" w:lineRule="auto"/>
              <w:jc w:val="center"/>
              <w:rPr>
                <w:rFonts w:hint="eastAsia" w:ascii="仿宋" w:hAnsi="仿宋" w:eastAsia="仿宋" w:cs="仿宋"/>
                <w:color w:val="auto"/>
                <w:sz w:val="21"/>
                <w:szCs w:val="21"/>
                <w:highlight w:val="none"/>
              </w:rPr>
            </w:pPr>
          </w:p>
          <w:p w14:paraId="33356630">
            <w:pPr>
              <w:pStyle w:val="21"/>
              <w:spacing w:before="75" w:line="189" w:lineRule="auto"/>
              <w:jc w:val="center"/>
              <w:rPr>
                <w:rFonts w:hint="eastAsia" w:ascii="仿宋" w:hAnsi="仿宋" w:eastAsia="仿宋" w:cs="仿宋"/>
                <w:color w:val="auto"/>
                <w:sz w:val="21"/>
                <w:szCs w:val="21"/>
                <w:highlight w:val="none"/>
              </w:rPr>
            </w:pPr>
          </w:p>
          <w:p w14:paraId="182D6FDA">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30分</w:t>
            </w:r>
          </w:p>
        </w:tc>
        <w:tc>
          <w:tcPr>
            <w:tcW w:w="6778" w:type="dxa"/>
            <w:vAlign w:val="center"/>
          </w:tcPr>
          <w:p w14:paraId="378FC515">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1、制度内容完整、科学合理、有针对本项目的具体描述，规范及制度非常细致、全面、完善能够保证本项目采购后的所有技术服务要求得30分；</w:t>
            </w:r>
          </w:p>
          <w:p w14:paraId="0F522046">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2、制度内容完整，但是缺乏针对本项目采购需求的具体描述，可以满足采购需求的，得20分；</w:t>
            </w:r>
          </w:p>
          <w:p w14:paraId="106424A8">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3、制度内容不完整，缺乏针对性的，得10分；</w:t>
            </w:r>
          </w:p>
          <w:p w14:paraId="43EEF06C">
            <w:pPr>
              <w:pStyle w:val="21"/>
              <w:spacing w:before="75" w:line="189" w:lineRule="auto"/>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4、制度内容不合理，无针对性，得5分；未提供不得分</w:t>
            </w:r>
            <w:r>
              <w:rPr>
                <w:rFonts w:hint="eastAsia" w:ascii="仿宋" w:hAnsi="仿宋" w:eastAsia="仿宋" w:cs="仿宋"/>
                <w:color w:val="auto"/>
                <w:sz w:val="21"/>
                <w:szCs w:val="21"/>
                <w:highlight w:val="none"/>
                <w:lang w:eastAsia="zh-CN"/>
              </w:rPr>
              <w:t>。</w:t>
            </w:r>
          </w:p>
        </w:tc>
        <w:tc>
          <w:tcPr>
            <w:tcW w:w="682" w:type="dxa"/>
            <w:vAlign w:val="top"/>
          </w:tcPr>
          <w:p w14:paraId="2543A1D4">
            <w:pPr>
              <w:rPr>
                <w:rFonts w:ascii="Arial"/>
                <w:color w:val="auto"/>
                <w:sz w:val="21"/>
                <w:highlight w:val="none"/>
              </w:rPr>
            </w:pPr>
          </w:p>
        </w:tc>
      </w:tr>
      <w:tr w14:paraId="3FD23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9" w:hRule="atLeast"/>
          <w:jc w:val="center"/>
        </w:trPr>
        <w:tc>
          <w:tcPr>
            <w:tcW w:w="646" w:type="dxa"/>
            <w:vAlign w:val="center"/>
          </w:tcPr>
          <w:p w14:paraId="007B33AF">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25" w:type="dxa"/>
            <w:vAlign w:val="center"/>
          </w:tcPr>
          <w:p w14:paraId="08F036D0">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质量保证</w:t>
            </w:r>
          </w:p>
          <w:p w14:paraId="3C38ED97">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措施</w:t>
            </w:r>
          </w:p>
        </w:tc>
        <w:tc>
          <w:tcPr>
            <w:tcW w:w="711" w:type="dxa"/>
            <w:vAlign w:val="center"/>
          </w:tcPr>
          <w:p w14:paraId="7AD9BD16">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20分</w:t>
            </w:r>
          </w:p>
        </w:tc>
        <w:tc>
          <w:tcPr>
            <w:tcW w:w="6778" w:type="dxa"/>
            <w:vAlign w:val="center"/>
          </w:tcPr>
          <w:p w14:paraId="290D9274">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1、质量控制方案内容全面详细、具体、合理、针对性强得20分；</w:t>
            </w:r>
          </w:p>
          <w:p w14:paraId="2796B88F">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2、质量控制方案内容较强的得15分；</w:t>
            </w:r>
          </w:p>
          <w:p w14:paraId="29EA7E7E">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3、质量控制方案内容一般的得10分；</w:t>
            </w:r>
          </w:p>
          <w:p w14:paraId="7EF9A6EB">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4、质量控制方案内容有所欠缺的得5分；未提供的不得分。</w:t>
            </w:r>
          </w:p>
        </w:tc>
        <w:tc>
          <w:tcPr>
            <w:tcW w:w="682" w:type="dxa"/>
            <w:vAlign w:val="top"/>
          </w:tcPr>
          <w:p w14:paraId="721819EE">
            <w:pPr>
              <w:rPr>
                <w:rFonts w:ascii="Arial"/>
                <w:color w:val="auto"/>
                <w:sz w:val="21"/>
                <w:highlight w:val="none"/>
              </w:rPr>
            </w:pPr>
          </w:p>
        </w:tc>
      </w:tr>
      <w:tr w14:paraId="45B98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jc w:val="center"/>
        </w:trPr>
        <w:tc>
          <w:tcPr>
            <w:tcW w:w="646" w:type="dxa"/>
            <w:vAlign w:val="center"/>
          </w:tcPr>
          <w:p w14:paraId="1CD27CE6">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25" w:type="dxa"/>
            <w:vAlign w:val="center"/>
          </w:tcPr>
          <w:p w14:paraId="27CA9AD3">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服务方案</w:t>
            </w:r>
          </w:p>
        </w:tc>
        <w:tc>
          <w:tcPr>
            <w:tcW w:w="711" w:type="dxa"/>
            <w:vAlign w:val="center"/>
          </w:tcPr>
          <w:p w14:paraId="6743EBF1">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20分</w:t>
            </w:r>
          </w:p>
        </w:tc>
        <w:tc>
          <w:tcPr>
            <w:tcW w:w="6778" w:type="dxa"/>
            <w:vAlign w:val="center"/>
          </w:tcPr>
          <w:p w14:paraId="756D4065">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根据本项目实际需求提供服务方案：</w:t>
            </w:r>
          </w:p>
          <w:p w14:paraId="608A436C">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服务方案及承诺全面、合理、科学、可行性强得20分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每少一项扣5分，扣完为止。</w:t>
            </w:r>
          </w:p>
        </w:tc>
        <w:tc>
          <w:tcPr>
            <w:tcW w:w="682" w:type="dxa"/>
            <w:vAlign w:val="top"/>
          </w:tcPr>
          <w:p w14:paraId="3D441AC4">
            <w:pPr>
              <w:rPr>
                <w:rFonts w:ascii="Arial"/>
                <w:color w:val="auto"/>
                <w:sz w:val="21"/>
                <w:highlight w:val="none"/>
              </w:rPr>
            </w:pPr>
          </w:p>
        </w:tc>
      </w:tr>
      <w:tr w14:paraId="63F8F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jc w:val="center"/>
        </w:trPr>
        <w:tc>
          <w:tcPr>
            <w:tcW w:w="646" w:type="dxa"/>
            <w:vAlign w:val="center"/>
          </w:tcPr>
          <w:p w14:paraId="6415CC66">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225" w:type="dxa"/>
            <w:vAlign w:val="center"/>
          </w:tcPr>
          <w:p w14:paraId="1D3D9A45">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成果提交</w:t>
            </w:r>
          </w:p>
        </w:tc>
        <w:tc>
          <w:tcPr>
            <w:tcW w:w="711" w:type="dxa"/>
            <w:vAlign w:val="center"/>
          </w:tcPr>
          <w:p w14:paraId="77690DA6">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778" w:type="dxa"/>
            <w:vAlign w:val="center"/>
          </w:tcPr>
          <w:p w14:paraId="1BA523E2">
            <w:pPr>
              <w:pStyle w:val="21"/>
              <w:spacing w:before="75" w:line="189" w:lineRule="auto"/>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公证书周期保证措施，以公证各阶段的组织安排科学合理，能满足计划要求，切实可行进行，由评委根据投标文件情况进行打分；优秀的10分、良的6分、差的2分。未提供的不得分。</w:t>
            </w:r>
          </w:p>
        </w:tc>
        <w:tc>
          <w:tcPr>
            <w:tcW w:w="682" w:type="dxa"/>
            <w:vAlign w:val="top"/>
          </w:tcPr>
          <w:p w14:paraId="0C5B6048">
            <w:pPr>
              <w:rPr>
                <w:rFonts w:ascii="Arial"/>
                <w:color w:val="auto"/>
                <w:sz w:val="21"/>
                <w:highlight w:val="none"/>
              </w:rPr>
            </w:pPr>
          </w:p>
        </w:tc>
      </w:tr>
      <w:tr w14:paraId="30074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jc w:val="center"/>
        </w:trPr>
        <w:tc>
          <w:tcPr>
            <w:tcW w:w="646" w:type="dxa"/>
            <w:vAlign w:val="center"/>
          </w:tcPr>
          <w:p w14:paraId="251FC4D7">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225" w:type="dxa"/>
            <w:vAlign w:val="center"/>
          </w:tcPr>
          <w:p w14:paraId="75A47D60">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咨询服务</w:t>
            </w:r>
          </w:p>
        </w:tc>
        <w:tc>
          <w:tcPr>
            <w:tcW w:w="711" w:type="dxa"/>
            <w:vAlign w:val="center"/>
          </w:tcPr>
          <w:p w14:paraId="518351D6">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5分</w:t>
            </w:r>
          </w:p>
        </w:tc>
        <w:tc>
          <w:tcPr>
            <w:tcW w:w="6778" w:type="dxa"/>
            <w:vAlign w:val="center"/>
          </w:tcPr>
          <w:p w14:paraId="00841A99">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（1）能提供电话热线7×24小时的咨询与服务的得5分，</w:t>
            </w:r>
          </w:p>
          <w:p w14:paraId="582B2F29">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（2）能提供电子邮件等形式的法律咨询与服务的得2分。</w:t>
            </w:r>
          </w:p>
          <w:p w14:paraId="5060DD42">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（需提供对应</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承诺书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未提供不得分。</w:t>
            </w:r>
            <w:r>
              <w:rPr>
                <w:rFonts w:hint="eastAsia" w:ascii="仿宋" w:hAnsi="仿宋" w:eastAsia="仿宋" w:cs="仿宋"/>
                <w:color w:val="auto"/>
                <w:sz w:val="21"/>
                <w:szCs w:val="21"/>
                <w:highlight w:val="none"/>
              </w:rPr>
              <w:t>）</w:t>
            </w:r>
          </w:p>
        </w:tc>
        <w:tc>
          <w:tcPr>
            <w:tcW w:w="682" w:type="dxa"/>
            <w:vAlign w:val="top"/>
          </w:tcPr>
          <w:p w14:paraId="67887900">
            <w:pPr>
              <w:rPr>
                <w:rFonts w:ascii="Arial"/>
                <w:color w:val="auto"/>
                <w:sz w:val="21"/>
                <w:highlight w:val="none"/>
              </w:rPr>
            </w:pPr>
          </w:p>
        </w:tc>
      </w:tr>
      <w:tr w14:paraId="29D66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6" w:hRule="atLeast"/>
          <w:jc w:val="center"/>
        </w:trPr>
        <w:tc>
          <w:tcPr>
            <w:tcW w:w="646" w:type="dxa"/>
            <w:vAlign w:val="center"/>
          </w:tcPr>
          <w:p w14:paraId="766BC153">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225" w:type="dxa"/>
            <w:vAlign w:val="center"/>
          </w:tcPr>
          <w:p w14:paraId="34997A50">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人员情况</w:t>
            </w:r>
          </w:p>
        </w:tc>
        <w:tc>
          <w:tcPr>
            <w:tcW w:w="711" w:type="dxa"/>
            <w:vAlign w:val="center"/>
          </w:tcPr>
          <w:p w14:paraId="7713155D">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15分</w:t>
            </w:r>
          </w:p>
        </w:tc>
        <w:tc>
          <w:tcPr>
            <w:tcW w:w="6778" w:type="dxa"/>
            <w:vAlign w:val="center"/>
          </w:tcPr>
          <w:p w14:paraId="5CB688BB">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拟派项目组成人员专业水平：</w:t>
            </w:r>
          </w:p>
          <w:p w14:paraId="322B7BAA">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（1）根据拟派项目组负责人执业年限5年以上的得7分；</w:t>
            </w:r>
          </w:p>
          <w:p w14:paraId="6BF843F8">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（2）执业年限3（含本数）-5（不含本数）年得4分；</w:t>
            </w:r>
          </w:p>
          <w:p w14:paraId="7806B492">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（3）执业年限3（不含本数）年以下的得2分。</w:t>
            </w:r>
          </w:p>
          <w:p w14:paraId="41920158">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（4）拟派项目组的人员中（除项目负责人）至少有1名公证人员，如增加1名公证员加2分，最高8分。</w:t>
            </w:r>
          </w:p>
          <w:p w14:paraId="6814A84A">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提供相关证书复印件加盖公章及近三个月的社保证明。</w:t>
            </w:r>
          </w:p>
        </w:tc>
        <w:tc>
          <w:tcPr>
            <w:tcW w:w="682" w:type="dxa"/>
            <w:vAlign w:val="top"/>
          </w:tcPr>
          <w:p w14:paraId="297A8217">
            <w:pPr>
              <w:rPr>
                <w:rFonts w:ascii="Arial"/>
                <w:color w:val="auto"/>
                <w:sz w:val="21"/>
                <w:highlight w:val="none"/>
              </w:rPr>
            </w:pPr>
          </w:p>
        </w:tc>
      </w:tr>
    </w:tbl>
    <w:p w14:paraId="48A1253F">
      <w:pPr>
        <w:pStyle w:val="4"/>
        <w:rPr>
          <w:rFonts w:hint="eastAsia" w:eastAsia="宋体"/>
          <w:b/>
          <w:bCs/>
          <w:color w:val="auto"/>
          <w:sz w:val="28"/>
          <w:szCs w:val="28"/>
          <w:highlight w:val="none"/>
          <w:lang w:val="en-US" w:eastAsia="zh-CN"/>
        </w:rPr>
      </w:pPr>
    </w:p>
    <w:p w14:paraId="0C5EEF02">
      <w:pPr>
        <w:pStyle w:val="4"/>
        <w:rPr>
          <w:rFonts w:hint="eastAsia" w:eastAsia="宋体"/>
          <w:b/>
          <w:bCs/>
          <w:color w:val="auto"/>
          <w:sz w:val="28"/>
          <w:szCs w:val="28"/>
          <w:highlight w:val="none"/>
          <w:lang w:val="en-US" w:eastAsia="zh-CN"/>
        </w:rPr>
      </w:pPr>
    </w:p>
    <w:p w14:paraId="1B164BE4">
      <w:pPr>
        <w:pStyle w:val="4"/>
        <w:rPr>
          <w:rFonts w:hint="eastAsia" w:eastAsia="宋体"/>
          <w:b/>
          <w:bCs/>
          <w:color w:val="auto"/>
          <w:sz w:val="28"/>
          <w:szCs w:val="28"/>
          <w:highlight w:val="none"/>
          <w:lang w:val="en-US" w:eastAsia="zh-CN"/>
        </w:rPr>
      </w:pPr>
    </w:p>
    <w:p w14:paraId="1D297CB0">
      <w:pPr>
        <w:pStyle w:val="4"/>
        <w:rPr>
          <w:rFonts w:hint="eastAsia" w:eastAsia="宋体"/>
          <w:b/>
          <w:bCs/>
          <w:color w:val="auto"/>
          <w:sz w:val="28"/>
          <w:szCs w:val="28"/>
          <w:highlight w:val="none"/>
          <w:lang w:val="en-US" w:eastAsia="zh-CN"/>
        </w:rPr>
      </w:pPr>
    </w:p>
    <w:p w14:paraId="0CAEB9EE">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标项6：</w:t>
      </w:r>
    </w:p>
    <w:p w14:paraId="0214FEE6">
      <w:pPr>
        <w:pStyle w:val="4"/>
        <w:rPr>
          <w:rFonts w:hint="eastAsia" w:eastAsia="宋体"/>
          <w:b/>
          <w:bCs/>
          <w:color w:val="auto"/>
          <w:sz w:val="28"/>
          <w:szCs w:val="28"/>
          <w:highlight w:val="none"/>
          <w:lang w:val="en-US" w:eastAsia="zh-CN"/>
        </w:rPr>
      </w:pPr>
    </w:p>
    <w:tbl>
      <w:tblPr>
        <w:tblStyle w:val="20"/>
        <w:tblW w:w="990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8"/>
        <w:gridCol w:w="1264"/>
        <w:gridCol w:w="711"/>
        <w:gridCol w:w="6972"/>
        <w:gridCol w:w="431"/>
      </w:tblGrid>
      <w:tr w14:paraId="09BB1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jc w:val="center"/>
        </w:trPr>
        <w:tc>
          <w:tcPr>
            <w:tcW w:w="528" w:type="dxa"/>
            <w:vAlign w:val="center"/>
          </w:tcPr>
          <w:p w14:paraId="7EC12202">
            <w:pPr>
              <w:pStyle w:val="21"/>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序号</w:t>
            </w:r>
          </w:p>
        </w:tc>
        <w:tc>
          <w:tcPr>
            <w:tcW w:w="1264" w:type="dxa"/>
            <w:vAlign w:val="center"/>
          </w:tcPr>
          <w:p w14:paraId="7CE35354">
            <w:pPr>
              <w:pStyle w:val="21"/>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评分因素</w:t>
            </w:r>
          </w:p>
        </w:tc>
        <w:tc>
          <w:tcPr>
            <w:tcW w:w="711" w:type="dxa"/>
            <w:vAlign w:val="center"/>
          </w:tcPr>
          <w:p w14:paraId="2477B8F1">
            <w:pPr>
              <w:pStyle w:val="21"/>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分值</w:t>
            </w:r>
          </w:p>
        </w:tc>
        <w:tc>
          <w:tcPr>
            <w:tcW w:w="6972" w:type="dxa"/>
            <w:vAlign w:val="center"/>
          </w:tcPr>
          <w:p w14:paraId="50461CED">
            <w:pPr>
              <w:pStyle w:val="21"/>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评分标准</w:t>
            </w:r>
          </w:p>
        </w:tc>
        <w:tc>
          <w:tcPr>
            <w:tcW w:w="431" w:type="dxa"/>
            <w:vAlign w:val="center"/>
          </w:tcPr>
          <w:p w14:paraId="3DEE2522">
            <w:pPr>
              <w:pStyle w:val="21"/>
              <w:spacing w:before="109" w:line="210" w:lineRule="auto"/>
              <w:jc w:val="center"/>
              <w:outlineLvl w:val="1"/>
              <w:rPr>
                <w:color w:val="auto"/>
                <w:highlight w:val="none"/>
              </w:rPr>
            </w:pPr>
            <w:r>
              <w:rPr>
                <w:rFonts w:hint="eastAsia" w:ascii="仿宋" w:hAnsi="仿宋" w:eastAsia="仿宋" w:cs="仿宋"/>
                <w:color w:val="auto"/>
                <w:sz w:val="22"/>
                <w:szCs w:val="22"/>
                <w:highlight w:val="none"/>
                <w:lang w:val="en-US" w:eastAsia="zh-CN"/>
              </w:rPr>
              <w:t>备注</w:t>
            </w:r>
          </w:p>
        </w:tc>
      </w:tr>
      <w:tr w14:paraId="198FE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8" w:hRule="atLeast"/>
          <w:jc w:val="center"/>
        </w:trPr>
        <w:tc>
          <w:tcPr>
            <w:tcW w:w="528" w:type="dxa"/>
            <w:vAlign w:val="center"/>
          </w:tcPr>
          <w:p w14:paraId="473E6574">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64" w:type="dxa"/>
            <w:vAlign w:val="center"/>
          </w:tcPr>
          <w:p w14:paraId="712EEFEE">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报价部分</w:t>
            </w:r>
          </w:p>
        </w:tc>
        <w:tc>
          <w:tcPr>
            <w:tcW w:w="711" w:type="dxa"/>
            <w:vAlign w:val="center"/>
          </w:tcPr>
          <w:p w14:paraId="75C7E37F">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30分</w:t>
            </w:r>
          </w:p>
        </w:tc>
        <w:tc>
          <w:tcPr>
            <w:tcW w:w="6972" w:type="dxa"/>
            <w:vAlign w:val="center"/>
          </w:tcPr>
          <w:p w14:paraId="677BAAFF">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采用低价优先法计算，即满足招标文件要求且投标下浮率最高的投标报价为评标基准下浮率，其价格分为满分。</w:t>
            </w:r>
          </w:p>
          <w:p w14:paraId="4524D0D4">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其他投标人的价格分统一按照下列公式计算：投标报价（下浮率）得分=（投标下浮率/基准下浮率） ×价格权值（30%） × 100</w:t>
            </w:r>
          </w:p>
        </w:tc>
        <w:tc>
          <w:tcPr>
            <w:tcW w:w="431" w:type="dxa"/>
            <w:vAlign w:val="top"/>
          </w:tcPr>
          <w:p w14:paraId="34AE9D2C">
            <w:pPr>
              <w:rPr>
                <w:rFonts w:ascii="Arial"/>
                <w:color w:val="auto"/>
                <w:sz w:val="21"/>
                <w:highlight w:val="none"/>
              </w:rPr>
            </w:pPr>
          </w:p>
        </w:tc>
      </w:tr>
      <w:tr w14:paraId="500C6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2" w:hRule="atLeast"/>
          <w:jc w:val="center"/>
        </w:trPr>
        <w:tc>
          <w:tcPr>
            <w:tcW w:w="528" w:type="dxa"/>
            <w:vAlign w:val="center"/>
          </w:tcPr>
          <w:p w14:paraId="09F6C76D">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64" w:type="dxa"/>
            <w:vAlign w:val="center"/>
          </w:tcPr>
          <w:p w14:paraId="3CA4EE0B">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投标人近</w:t>
            </w:r>
          </w:p>
          <w:p w14:paraId="624900FD">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三年业绩</w:t>
            </w:r>
          </w:p>
        </w:tc>
        <w:tc>
          <w:tcPr>
            <w:tcW w:w="711" w:type="dxa"/>
            <w:vAlign w:val="center"/>
          </w:tcPr>
          <w:p w14:paraId="67352840">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5分</w:t>
            </w:r>
          </w:p>
        </w:tc>
        <w:tc>
          <w:tcPr>
            <w:tcW w:w="6972" w:type="dxa"/>
            <w:vAlign w:val="center"/>
          </w:tcPr>
          <w:p w14:paraId="626F506A">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近三年（投标截止日前三年）每提供一项业绩得1分，满分为5分。（业绩证明材料需提供合同。以上材料均须复印件加盖供应商公章，业绩证明材料提供齐全视为有效业绩，未提供或提供不齐全视为无效业绩不得分。</w:t>
            </w:r>
          </w:p>
        </w:tc>
        <w:tc>
          <w:tcPr>
            <w:tcW w:w="431" w:type="dxa"/>
            <w:vAlign w:val="top"/>
          </w:tcPr>
          <w:p w14:paraId="6D91BFC6">
            <w:pPr>
              <w:rPr>
                <w:rFonts w:ascii="Arial"/>
                <w:color w:val="auto"/>
                <w:sz w:val="21"/>
                <w:highlight w:val="none"/>
              </w:rPr>
            </w:pPr>
          </w:p>
        </w:tc>
      </w:tr>
      <w:tr w14:paraId="16698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5" w:hRule="atLeast"/>
          <w:jc w:val="center"/>
        </w:trPr>
        <w:tc>
          <w:tcPr>
            <w:tcW w:w="528" w:type="dxa"/>
            <w:vAlign w:val="center"/>
          </w:tcPr>
          <w:p w14:paraId="1DF64D2E">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64" w:type="dxa"/>
            <w:vAlign w:val="center"/>
          </w:tcPr>
          <w:p w14:paraId="79779F50">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人员配备</w:t>
            </w:r>
          </w:p>
        </w:tc>
        <w:tc>
          <w:tcPr>
            <w:tcW w:w="711" w:type="dxa"/>
            <w:vAlign w:val="center"/>
          </w:tcPr>
          <w:p w14:paraId="0BF01CC1">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8分</w:t>
            </w:r>
          </w:p>
        </w:tc>
        <w:tc>
          <w:tcPr>
            <w:tcW w:w="6972" w:type="dxa"/>
            <w:vAlign w:val="center"/>
          </w:tcPr>
          <w:p w14:paraId="194831B6">
            <w:pPr>
              <w:pStyle w:val="21"/>
              <w:spacing w:before="75" w:line="189" w:lineRule="auto"/>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针对本项目实施内容组织机构体系完整配备专业人员，岗位职能和分工明确，人员配备充足合理得8分，项目组织机构较为完整，人员满足项目要求，得6分；项目组织机构体系不完整，人员配备欠缺，得2分,未提供的不得分</w:t>
            </w:r>
            <w:r>
              <w:rPr>
                <w:rFonts w:hint="eastAsia" w:ascii="仿宋" w:hAnsi="仿宋" w:eastAsia="仿宋" w:cs="仿宋"/>
                <w:color w:val="auto"/>
                <w:sz w:val="21"/>
                <w:szCs w:val="21"/>
                <w:highlight w:val="none"/>
                <w:lang w:eastAsia="zh-CN"/>
              </w:rPr>
              <w:t>。</w:t>
            </w:r>
          </w:p>
          <w:p w14:paraId="50946890">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注：根据对各投标单位所提供的专业技术服务人员团队成员团队的人员在数量、专业性范围、人员资格、实操经验能力等是否满足本项目要求进行综合比较评审。</w:t>
            </w:r>
          </w:p>
          <w:p w14:paraId="0042EE9F">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(以上人员须附录身份证等相关证件劳务合同、本单位的缴纳社保证明，否则不计分。）</w:t>
            </w:r>
          </w:p>
        </w:tc>
        <w:tc>
          <w:tcPr>
            <w:tcW w:w="431" w:type="dxa"/>
            <w:vAlign w:val="top"/>
          </w:tcPr>
          <w:p w14:paraId="36DF5BD3">
            <w:pPr>
              <w:rPr>
                <w:rFonts w:ascii="Arial"/>
                <w:color w:val="auto"/>
                <w:sz w:val="21"/>
                <w:highlight w:val="none"/>
              </w:rPr>
            </w:pPr>
          </w:p>
        </w:tc>
      </w:tr>
      <w:tr w14:paraId="0844E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5" w:hRule="atLeast"/>
          <w:jc w:val="center"/>
        </w:trPr>
        <w:tc>
          <w:tcPr>
            <w:tcW w:w="528" w:type="dxa"/>
            <w:vAlign w:val="center"/>
          </w:tcPr>
          <w:p w14:paraId="4C36DA52">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264" w:type="dxa"/>
            <w:vAlign w:val="center"/>
          </w:tcPr>
          <w:p w14:paraId="4D641F0E">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项目管理</w:t>
            </w:r>
          </w:p>
          <w:p w14:paraId="3104AB69">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w:t>
            </w:r>
          </w:p>
        </w:tc>
        <w:tc>
          <w:tcPr>
            <w:tcW w:w="711" w:type="dxa"/>
            <w:vAlign w:val="center"/>
          </w:tcPr>
          <w:p w14:paraId="3ADD33EC">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30分</w:t>
            </w:r>
          </w:p>
        </w:tc>
        <w:tc>
          <w:tcPr>
            <w:tcW w:w="6972" w:type="dxa"/>
            <w:vAlign w:val="center"/>
          </w:tcPr>
          <w:p w14:paraId="646E2F90">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对供应商的项目服务方案进行综合比较评审，包括但不限于以下内容：</w:t>
            </w:r>
          </w:p>
          <w:p w14:paraId="59E2A597">
            <w:pPr>
              <w:pStyle w:val="21"/>
              <w:numPr>
                <w:ilvl w:val="0"/>
                <w:numId w:val="3"/>
              </w:numPr>
              <w:spacing w:before="75" w:line="189" w:lineRule="auto"/>
              <w:ind w:left="105"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项目进度方案；</w:t>
            </w:r>
          </w:p>
          <w:p w14:paraId="79037F28">
            <w:pPr>
              <w:pStyle w:val="21"/>
              <w:numPr>
                <w:ilvl w:val="0"/>
                <w:numId w:val="3"/>
              </w:numPr>
              <w:spacing w:before="75" w:line="189" w:lineRule="auto"/>
              <w:ind w:left="105"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项目实施准备计划</w:t>
            </w:r>
            <w:r>
              <w:rPr>
                <w:rFonts w:hint="eastAsia" w:ascii="仿宋" w:hAnsi="仿宋" w:eastAsia="仿宋" w:cs="仿宋"/>
                <w:color w:val="auto"/>
                <w:sz w:val="21"/>
                <w:szCs w:val="21"/>
                <w:highlight w:val="none"/>
                <w:lang w:eastAsia="zh-CN"/>
              </w:rPr>
              <w:t>；</w:t>
            </w:r>
          </w:p>
          <w:p w14:paraId="3D713FFD">
            <w:pPr>
              <w:pStyle w:val="21"/>
              <w:numPr>
                <w:ilvl w:val="0"/>
                <w:numId w:val="3"/>
              </w:numPr>
              <w:spacing w:before="75" w:line="189" w:lineRule="auto"/>
              <w:ind w:left="105"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人员安排计划；</w:t>
            </w:r>
          </w:p>
          <w:p w14:paraId="74C5D638">
            <w:pPr>
              <w:pStyle w:val="21"/>
              <w:numPr>
                <w:ilvl w:val="0"/>
                <w:numId w:val="3"/>
              </w:numPr>
              <w:spacing w:before="75" w:line="189" w:lineRule="auto"/>
              <w:ind w:left="105"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质量保证措施；</w:t>
            </w:r>
          </w:p>
          <w:p w14:paraId="724468FB">
            <w:pPr>
              <w:pStyle w:val="21"/>
              <w:numPr>
                <w:ilvl w:val="0"/>
                <w:numId w:val="3"/>
              </w:numPr>
              <w:spacing w:before="75" w:line="189" w:lineRule="auto"/>
              <w:ind w:left="105"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安全保障措施；</w:t>
            </w:r>
          </w:p>
          <w:p w14:paraId="49504AF2">
            <w:pPr>
              <w:pStyle w:val="21"/>
              <w:numPr>
                <w:ilvl w:val="0"/>
                <w:numId w:val="0"/>
              </w:numPr>
              <w:spacing w:before="75" w:line="189" w:lineRule="auto"/>
              <w:ind w:left="105" w:leftChars="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6、清运作业实施方案；</w:t>
            </w:r>
          </w:p>
          <w:p w14:paraId="5E7906EB">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以上方案完善详细并具有针对性得30分，每缺一项内容扣5分，每有一项不完善或明显错误或前后表述矛盾或不完全满足采购人实 际需求的扣2分，直至该项扣完为止。</w:t>
            </w:r>
          </w:p>
        </w:tc>
        <w:tc>
          <w:tcPr>
            <w:tcW w:w="431" w:type="dxa"/>
            <w:vAlign w:val="top"/>
          </w:tcPr>
          <w:p w14:paraId="32869BA3">
            <w:pPr>
              <w:rPr>
                <w:rFonts w:ascii="Arial"/>
                <w:color w:val="auto"/>
                <w:sz w:val="21"/>
                <w:highlight w:val="none"/>
              </w:rPr>
            </w:pPr>
          </w:p>
        </w:tc>
      </w:tr>
      <w:tr w14:paraId="7F5CF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6" w:hRule="atLeast"/>
          <w:jc w:val="center"/>
        </w:trPr>
        <w:tc>
          <w:tcPr>
            <w:tcW w:w="528" w:type="dxa"/>
            <w:shd w:val="clear" w:color="auto" w:fill="auto"/>
            <w:vAlign w:val="center"/>
          </w:tcPr>
          <w:p w14:paraId="10E43AFB">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5</w:t>
            </w:r>
          </w:p>
        </w:tc>
        <w:tc>
          <w:tcPr>
            <w:tcW w:w="1264" w:type="dxa"/>
            <w:shd w:val="clear" w:color="auto" w:fill="auto"/>
            <w:vAlign w:val="center"/>
          </w:tcPr>
          <w:p w14:paraId="1CCC5029">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机械力量配备</w:t>
            </w:r>
          </w:p>
        </w:tc>
        <w:tc>
          <w:tcPr>
            <w:tcW w:w="711" w:type="dxa"/>
            <w:shd w:val="clear" w:color="auto" w:fill="auto"/>
            <w:vAlign w:val="center"/>
          </w:tcPr>
          <w:p w14:paraId="12A216FF">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10分</w:t>
            </w:r>
          </w:p>
        </w:tc>
        <w:tc>
          <w:tcPr>
            <w:tcW w:w="6972" w:type="dxa"/>
            <w:shd w:val="clear" w:color="auto" w:fill="auto"/>
            <w:vAlign w:val="center"/>
          </w:tcPr>
          <w:p w14:paraId="0F5CD310">
            <w:pPr>
              <w:pStyle w:val="21"/>
              <w:spacing w:before="75" w:line="189"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根据拟投入项目机械设备投入数量以及种类等内容进行评审：机械设备配备齐全、分工明确，完全满足项目需求，得10分；稍有欠缺，基本满足项目需求，得5分；配备简单、欠缺较多得 2分；</w:t>
            </w:r>
          </w:p>
          <w:p w14:paraId="4315C82C">
            <w:pPr>
              <w:pStyle w:val="21"/>
              <w:spacing w:before="75" w:line="189" w:lineRule="auto"/>
              <w:jc w:val="left"/>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未提供相关内容的，得0分。</w:t>
            </w:r>
          </w:p>
        </w:tc>
        <w:tc>
          <w:tcPr>
            <w:tcW w:w="431" w:type="dxa"/>
            <w:vAlign w:val="top"/>
          </w:tcPr>
          <w:p w14:paraId="5787B1B8">
            <w:pPr>
              <w:rPr>
                <w:rFonts w:ascii="Arial"/>
                <w:color w:val="auto"/>
                <w:sz w:val="21"/>
                <w:highlight w:val="none"/>
              </w:rPr>
            </w:pPr>
          </w:p>
        </w:tc>
      </w:tr>
      <w:tr w14:paraId="16A5E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5" w:hRule="atLeast"/>
          <w:jc w:val="center"/>
        </w:trPr>
        <w:tc>
          <w:tcPr>
            <w:tcW w:w="528" w:type="dxa"/>
            <w:shd w:val="clear" w:color="auto" w:fill="auto"/>
            <w:vAlign w:val="top"/>
          </w:tcPr>
          <w:p w14:paraId="48E22E4B">
            <w:pPr>
              <w:pStyle w:val="21"/>
              <w:spacing w:before="75" w:line="189" w:lineRule="auto"/>
              <w:jc w:val="center"/>
              <w:rPr>
                <w:rFonts w:hint="eastAsia" w:ascii="仿宋" w:hAnsi="仿宋" w:eastAsia="仿宋" w:cs="仿宋"/>
                <w:color w:val="auto"/>
                <w:sz w:val="21"/>
                <w:szCs w:val="21"/>
                <w:highlight w:val="none"/>
              </w:rPr>
            </w:pPr>
          </w:p>
          <w:p w14:paraId="5E62050E">
            <w:pPr>
              <w:pStyle w:val="21"/>
              <w:spacing w:before="75" w:line="189" w:lineRule="auto"/>
              <w:jc w:val="center"/>
              <w:rPr>
                <w:rFonts w:hint="eastAsia" w:ascii="仿宋" w:hAnsi="仿宋" w:eastAsia="仿宋" w:cs="仿宋"/>
                <w:color w:val="auto"/>
                <w:sz w:val="21"/>
                <w:szCs w:val="21"/>
                <w:highlight w:val="none"/>
              </w:rPr>
            </w:pPr>
          </w:p>
          <w:p w14:paraId="025FBC48">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6</w:t>
            </w:r>
          </w:p>
        </w:tc>
        <w:tc>
          <w:tcPr>
            <w:tcW w:w="1264" w:type="dxa"/>
            <w:shd w:val="clear" w:color="auto" w:fill="auto"/>
            <w:vAlign w:val="top"/>
          </w:tcPr>
          <w:p w14:paraId="48A21AE3">
            <w:pPr>
              <w:pStyle w:val="21"/>
              <w:spacing w:before="75" w:line="189" w:lineRule="auto"/>
              <w:jc w:val="center"/>
              <w:rPr>
                <w:rFonts w:hint="eastAsia" w:ascii="仿宋" w:hAnsi="仿宋" w:eastAsia="仿宋" w:cs="仿宋"/>
                <w:color w:val="auto"/>
                <w:sz w:val="21"/>
                <w:szCs w:val="21"/>
                <w:highlight w:val="none"/>
              </w:rPr>
            </w:pPr>
          </w:p>
          <w:p w14:paraId="4B318FDA">
            <w:pPr>
              <w:pStyle w:val="21"/>
              <w:spacing w:before="75" w:line="189" w:lineRule="auto"/>
              <w:jc w:val="center"/>
              <w:rPr>
                <w:rFonts w:hint="eastAsia" w:ascii="仿宋" w:hAnsi="仿宋" w:eastAsia="仿宋" w:cs="仿宋"/>
                <w:color w:val="auto"/>
                <w:sz w:val="21"/>
                <w:szCs w:val="21"/>
                <w:highlight w:val="none"/>
              </w:rPr>
            </w:pPr>
          </w:p>
          <w:p w14:paraId="0ABF4AE2">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应急措施</w:t>
            </w:r>
          </w:p>
        </w:tc>
        <w:tc>
          <w:tcPr>
            <w:tcW w:w="711" w:type="dxa"/>
            <w:shd w:val="clear" w:color="auto" w:fill="auto"/>
            <w:vAlign w:val="top"/>
          </w:tcPr>
          <w:p w14:paraId="3EF22F15">
            <w:pPr>
              <w:pStyle w:val="21"/>
              <w:spacing w:before="75" w:line="189" w:lineRule="auto"/>
              <w:jc w:val="center"/>
              <w:rPr>
                <w:rFonts w:hint="eastAsia" w:ascii="仿宋" w:hAnsi="仿宋" w:eastAsia="仿宋" w:cs="仿宋"/>
                <w:color w:val="auto"/>
                <w:sz w:val="21"/>
                <w:szCs w:val="21"/>
                <w:highlight w:val="none"/>
              </w:rPr>
            </w:pPr>
          </w:p>
          <w:p w14:paraId="5D87D79B">
            <w:pPr>
              <w:pStyle w:val="21"/>
              <w:spacing w:before="75" w:line="189" w:lineRule="auto"/>
              <w:jc w:val="center"/>
              <w:rPr>
                <w:rFonts w:hint="eastAsia" w:ascii="仿宋" w:hAnsi="仿宋" w:eastAsia="仿宋" w:cs="仿宋"/>
                <w:color w:val="auto"/>
                <w:sz w:val="21"/>
                <w:szCs w:val="21"/>
                <w:highlight w:val="none"/>
              </w:rPr>
            </w:pPr>
          </w:p>
          <w:p w14:paraId="7CCF9628">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10分</w:t>
            </w:r>
          </w:p>
        </w:tc>
        <w:tc>
          <w:tcPr>
            <w:tcW w:w="6972" w:type="dxa"/>
            <w:shd w:val="clear" w:color="auto" w:fill="auto"/>
            <w:vAlign w:val="center"/>
          </w:tcPr>
          <w:p w14:paraId="04CCBB99">
            <w:pPr>
              <w:pStyle w:val="21"/>
              <w:spacing w:before="75" w:line="189" w:lineRule="auto"/>
              <w:jc w:val="left"/>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根据投标人对作业过程中车辆、人员、等突发状况的应急处理措施，由专家综合对比评价，酌情打分。措施完善、合理、可行</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得10分；基本完善、较合理、可行的，得 8分；措施内容简单，合理可行程度较低，得4分；未提供相关内容的，得0分。</w:t>
            </w:r>
          </w:p>
        </w:tc>
        <w:tc>
          <w:tcPr>
            <w:tcW w:w="431" w:type="dxa"/>
            <w:vAlign w:val="top"/>
          </w:tcPr>
          <w:p w14:paraId="56F3B757">
            <w:pPr>
              <w:rPr>
                <w:rFonts w:ascii="Arial"/>
                <w:color w:val="auto"/>
                <w:sz w:val="21"/>
                <w:highlight w:val="none"/>
              </w:rPr>
            </w:pPr>
          </w:p>
        </w:tc>
      </w:tr>
      <w:tr w14:paraId="68CAD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jc w:val="center"/>
        </w:trPr>
        <w:tc>
          <w:tcPr>
            <w:tcW w:w="528" w:type="dxa"/>
            <w:shd w:val="clear" w:color="auto" w:fill="auto"/>
            <w:vAlign w:val="center"/>
          </w:tcPr>
          <w:p w14:paraId="11DC2785">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7</w:t>
            </w:r>
          </w:p>
        </w:tc>
        <w:tc>
          <w:tcPr>
            <w:tcW w:w="1264" w:type="dxa"/>
            <w:shd w:val="clear" w:color="auto" w:fill="auto"/>
            <w:vAlign w:val="center"/>
          </w:tcPr>
          <w:p w14:paraId="696CA50F">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承诺</w:t>
            </w:r>
          </w:p>
        </w:tc>
        <w:tc>
          <w:tcPr>
            <w:tcW w:w="711" w:type="dxa"/>
            <w:shd w:val="clear" w:color="auto" w:fill="auto"/>
            <w:vAlign w:val="center"/>
          </w:tcPr>
          <w:p w14:paraId="13645D69">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7分</w:t>
            </w:r>
          </w:p>
        </w:tc>
        <w:tc>
          <w:tcPr>
            <w:tcW w:w="6972" w:type="dxa"/>
            <w:shd w:val="clear" w:color="auto" w:fill="auto"/>
            <w:vAlign w:val="center"/>
          </w:tcPr>
          <w:p w14:paraId="15579468">
            <w:pPr>
              <w:pStyle w:val="21"/>
              <w:spacing w:before="75" w:line="189" w:lineRule="auto"/>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安全措施有承诺、现场文明施工措施、有违约经济处罚且措施可行得7分，措施一般得3，措施方案较差得1分，</w:t>
            </w:r>
            <w:r>
              <w:rPr>
                <w:rFonts w:hint="eastAsia" w:ascii="仿宋" w:hAnsi="仿宋" w:eastAsia="仿宋" w:cs="仿宋"/>
                <w:color w:val="auto"/>
                <w:sz w:val="21"/>
                <w:szCs w:val="21"/>
                <w:highlight w:val="none"/>
                <w:lang w:val="en-US" w:eastAsia="zh-CN"/>
              </w:rPr>
              <w:t>未</w:t>
            </w:r>
            <w:r>
              <w:rPr>
                <w:rFonts w:hint="eastAsia" w:ascii="仿宋" w:hAnsi="仿宋" w:eastAsia="仿宋" w:cs="仿宋"/>
                <w:color w:val="auto"/>
                <w:sz w:val="21"/>
                <w:szCs w:val="21"/>
                <w:highlight w:val="none"/>
              </w:rPr>
              <w:t>提供不得分</w:t>
            </w:r>
            <w:r>
              <w:rPr>
                <w:rFonts w:hint="eastAsia" w:ascii="仿宋" w:hAnsi="仿宋" w:eastAsia="仿宋" w:cs="仿宋"/>
                <w:color w:val="auto"/>
                <w:sz w:val="21"/>
                <w:szCs w:val="21"/>
                <w:highlight w:val="none"/>
                <w:lang w:eastAsia="zh-CN"/>
              </w:rPr>
              <w:t>。</w:t>
            </w:r>
          </w:p>
        </w:tc>
        <w:tc>
          <w:tcPr>
            <w:tcW w:w="431" w:type="dxa"/>
            <w:vAlign w:val="top"/>
          </w:tcPr>
          <w:p w14:paraId="0D2A7E0B">
            <w:pPr>
              <w:rPr>
                <w:rFonts w:ascii="Arial"/>
                <w:color w:val="auto"/>
                <w:sz w:val="21"/>
                <w:highlight w:val="none"/>
              </w:rPr>
            </w:pPr>
          </w:p>
        </w:tc>
      </w:tr>
    </w:tbl>
    <w:p w14:paraId="276789CA">
      <w:pPr>
        <w:rPr>
          <w:rFonts w:hint="eastAsia" w:ascii="仿宋" w:hAnsi="仿宋" w:eastAsia="仿宋" w:cs="仿宋"/>
          <w:b/>
          <w:bCs/>
          <w:color w:val="auto"/>
          <w:sz w:val="28"/>
          <w:szCs w:val="28"/>
          <w:highlight w:val="none"/>
          <w:lang w:val="en-US" w:eastAsia="zh-CN"/>
        </w:rPr>
      </w:pPr>
    </w:p>
    <w:p w14:paraId="2D30711A">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标项7：</w:t>
      </w:r>
    </w:p>
    <w:p w14:paraId="0E360CD0">
      <w:pPr>
        <w:pStyle w:val="11"/>
        <w:rPr>
          <w:rFonts w:hint="eastAsia" w:ascii="仿宋" w:hAnsi="仿宋" w:eastAsia="仿宋" w:cs="仿宋"/>
          <w:b/>
          <w:bCs/>
          <w:color w:val="auto"/>
          <w:sz w:val="28"/>
          <w:szCs w:val="28"/>
          <w:highlight w:val="none"/>
          <w:lang w:val="en-US" w:eastAsia="zh-CN"/>
        </w:rPr>
      </w:pPr>
    </w:p>
    <w:tbl>
      <w:tblPr>
        <w:tblStyle w:val="20"/>
        <w:tblW w:w="1021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3"/>
        <w:gridCol w:w="1241"/>
        <w:gridCol w:w="735"/>
        <w:gridCol w:w="6961"/>
        <w:gridCol w:w="812"/>
      </w:tblGrid>
      <w:tr w14:paraId="2BE4B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463" w:type="dxa"/>
            <w:vAlign w:val="center"/>
          </w:tcPr>
          <w:p w14:paraId="09C60924">
            <w:pPr>
              <w:pStyle w:val="21"/>
              <w:spacing w:before="109" w:line="210" w:lineRule="auto"/>
              <w:jc w:val="center"/>
              <w:outlineLvl w:val="1"/>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序号</w:t>
            </w:r>
          </w:p>
        </w:tc>
        <w:tc>
          <w:tcPr>
            <w:tcW w:w="1241" w:type="dxa"/>
            <w:vAlign w:val="center"/>
          </w:tcPr>
          <w:p w14:paraId="0E74B326">
            <w:pPr>
              <w:pStyle w:val="21"/>
              <w:spacing w:before="109" w:line="210" w:lineRule="auto"/>
              <w:jc w:val="center"/>
              <w:outlineLvl w:val="1"/>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评分因素</w:t>
            </w:r>
          </w:p>
        </w:tc>
        <w:tc>
          <w:tcPr>
            <w:tcW w:w="735" w:type="dxa"/>
            <w:vAlign w:val="center"/>
          </w:tcPr>
          <w:p w14:paraId="774C2054">
            <w:pPr>
              <w:pStyle w:val="21"/>
              <w:spacing w:before="109" w:line="210" w:lineRule="auto"/>
              <w:jc w:val="center"/>
              <w:outlineLvl w:val="1"/>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分值</w:t>
            </w:r>
          </w:p>
        </w:tc>
        <w:tc>
          <w:tcPr>
            <w:tcW w:w="6961" w:type="dxa"/>
            <w:vAlign w:val="center"/>
          </w:tcPr>
          <w:p w14:paraId="37601340">
            <w:pPr>
              <w:pStyle w:val="21"/>
              <w:spacing w:before="109" w:line="210" w:lineRule="auto"/>
              <w:jc w:val="center"/>
              <w:outlineLvl w:val="1"/>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评分标准</w:t>
            </w:r>
          </w:p>
        </w:tc>
        <w:tc>
          <w:tcPr>
            <w:tcW w:w="812" w:type="dxa"/>
            <w:vAlign w:val="center"/>
          </w:tcPr>
          <w:p w14:paraId="0662B8E4">
            <w:pPr>
              <w:pStyle w:val="21"/>
              <w:spacing w:before="109" w:line="210" w:lineRule="auto"/>
              <w:jc w:val="center"/>
              <w:outlineLvl w:val="1"/>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备注</w:t>
            </w:r>
          </w:p>
        </w:tc>
      </w:tr>
      <w:tr w14:paraId="3278C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jc w:val="center"/>
        </w:trPr>
        <w:tc>
          <w:tcPr>
            <w:tcW w:w="463" w:type="dxa"/>
            <w:vAlign w:val="center"/>
          </w:tcPr>
          <w:p w14:paraId="7428ABB8">
            <w:pPr>
              <w:pStyle w:val="21"/>
              <w:spacing w:before="78" w:line="184"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41" w:type="dxa"/>
            <w:vAlign w:val="center"/>
          </w:tcPr>
          <w:p w14:paraId="6237FBE5">
            <w:pPr>
              <w:pStyle w:val="21"/>
              <w:spacing w:before="78" w:line="218"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报价部分</w:t>
            </w:r>
          </w:p>
        </w:tc>
        <w:tc>
          <w:tcPr>
            <w:tcW w:w="735" w:type="dxa"/>
            <w:vAlign w:val="center"/>
          </w:tcPr>
          <w:p w14:paraId="3A082D91">
            <w:pPr>
              <w:pStyle w:val="21"/>
              <w:spacing w:before="78" w:line="22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30分</w:t>
            </w:r>
          </w:p>
        </w:tc>
        <w:tc>
          <w:tcPr>
            <w:tcW w:w="6961" w:type="dxa"/>
            <w:vAlign w:val="top"/>
          </w:tcPr>
          <w:p w14:paraId="2D738A93">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采用低价优先法计算，即满足招标文件要求且投标下浮率最高的投标报价为评标基准下浮率，其价格分为满分。</w:t>
            </w:r>
          </w:p>
          <w:p w14:paraId="42C90DD5">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其他投标人的价格分统一按照下列公式计算：投</w:t>
            </w:r>
            <w:r>
              <w:rPr>
                <w:rFonts w:hint="eastAsia" w:ascii="仿宋" w:hAnsi="仿宋" w:eastAsia="仿宋" w:cs="仿宋"/>
                <w:color w:val="auto"/>
                <w:spacing w:val="-5"/>
                <w:sz w:val="21"/>
                <w:szCs w:val="21"/>
                <w:highlight w:val="none"/>
              </w:rPr>
              <w:t>标报价（下浮率）</w:t>
            </w:r>
            <w:r>
              <w:rPr>
                <w:rFonts w:hint="eastAsia" w:ascii="仿宋" w:hAnsi="仿宋" w:eastAsia="仿宋" w:cs="仿宋"/>
                <w:color w:val="auto"/>
                <w:spacing w:val="-4"/>
                <w:sz w:val="21"/>
                <w:szCs w:val="21"/>
                <w:highlight w:val="none"/>
              </w:rPr>
              <w:t>得分=（投标下浮率/基准下浮率）</w:t>
            </w:r>
            <w:r>
              <w:rPr>
                <w:rFonts w:hint="eastAsia" w:ascii="仿宋" w:hAnsi="仿宋" w:eastAsia="仿宋" w:cs="仿宋"/>
                <w:color w:val="auto"/>
                <w:spacing w:val="-77"/>
                <w:sz w:val="21"/>
                <w:szCs w:val="21"/>
                <w:highlight w:val="none"/>
              </w:rPr>
              <w:t xml:space="preserve"> </w:t>
            </w:r>
            <w:r>
              <w:rPr>
                <w:rFonts w:hint="eastAsia" w:ascii="仿宋" w:hAnsi="仿宋" w:eastAsia="仿宋" w:cs="仿宋"/>
                <w:color w:val="auto"/>
                <w:spacing w:val="-4"/>
                <w:sz w:val="21"/>
                <w:szCs w:val="21"/>
                <w:highlight w:val="none"/>
              </w:rPr>
              <w:t>×价格权值（30%</w:t>
            </w:r>
            <w:r>
              <w:rPr>
                <w:rFonts w:hint="eastAsia" w:ascii="仿宋" w:hAnsi="仿宋" w:eastAsia="仿宋" w:cs="仿宋"/>
                <w:color w:val="auto"/>
                <w:spacing w:val="-5"/>
                <w:sz w:val="21"/>
                <w:szCs w:val="21"/>
                <w:highlight w:val="none"/>
              </w:rPr>
              <w:t>）</w:t>
            </w:r>
            <w:r>
              <w:rPr>
                <w:rFonts w:hint="eastAsia" w:ascii="仿宋" w:hAnsi="仿宋" w:eastAsia="仿宋" w:cs="仿宋"/>
                <w:color w:val="auto"/>
                <w:spacing w:val="-77"/>
                <w:sz w:val="21"/>
                <w:szCs w:val="21"/>
                <w:highlight w:val="none"/>
              </w:rPr>
              <w:t xml:space="preserve"> </w:t>
            </w:r>
            <w:r>
              <w:rPr>
                <w:rFonts w:hint="eastAsia" w:ascii="仿宋" w:hAnsi="仿宋" w:eastAsia="仿宋" w:cs="仿宋"/>
                <w:color w:val="auto"/>
                <w:spacing w:val="-5"/>
                <w:sz w:val="21"/>
                <w:szCs w:val="21"/>
                <w:highlight w:val="none"/>
              </w:rPr>
              <w:t>×</w:t>
            </w:r>
            <w:r>
              <w:rPr>
                <w:rFonts w:hint="eastAsia" w:ascii="仿宋" w:hAnsi="仿宋" w:eastAsia="仿宋" w:cs="仿宋"/>
                <w:color w:val="auto"/>
                <w:spacing w:val="-93"/>
                <w:sz w:val="21"/>
                <w:szCs w:val="21"/>
                <w:highlight w:val="none"/>
              </w:rPr>
              <w:t xml:space="preserve"> </w:t>
            </w:r>
            <w:r>
              <w:rPr>
                <w:rFonts w:hint="eastAsia" w:ascii="仿宋" w:hAnsi="仿宋" w:eastAsia="仿宋" w:cs="仿宋"/>
                <w:color w:val="auto"/>
                <w:spacing w:val="-5"/>
                <w:sz w:val="21"/>
                <w:szCs w:val="21"/>
                <w:highlight w:val="none"/>
              </w:rPr>
              <w:t>100</w:t>
            </w:r>
          </w:p>
        </w:tc>
        <w:tc>
          <w:tcPr>
            <w:tcW w:w="812" w:type="dxa"/>
            <w:vAlign w:val="top"/>
          </w:tcPr>
          <w:p w14:paraId="30CB5706">
            <w:pPr>
              <w:rPr>
                <w:rFonts w:hint="eastAsia" w:ascii="仿宋" w:hAnsi="仿宋" w:eastAsia="仿宋" w:cs="仿宋"/>
                <w:color w:val="auto"/>
                <w:sz w:val="21"/>
                <w:szCs w:val="21"/>
                <w:highlight w:val="none"/>
              </w:rPr>
            </w:pPr>
          </w:p>
        </w:tc>
      </w:tr>
      <w:tr w14:paraId="1BE6C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jc w:val="center"/>
        </w:trPr>
        <w:tc>
          <w:tcPr>
            <w:tcW w:w="463" w:type="dxa"/>
            <w:vMerge w:val="restart"/>
            <w:tcBorders>
              <w:bottom w:val="nil"/>
            </w:tcBorders>
            <w:vAlign w:val="center"/>
          </w:tcPr>
          <w:p w14:paraId="73458C05">
            <w:pPr>
              <w:pStyle w:val="21"/>
              <w:spacing w:before="78" w:line="183"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41" w:type="dxa"/>
            <w:vMerge w:val="restart"/>
            <w:tcBorders>
              <w:bottom w:val="nil"/>
            </w:tcBorders>
            <w:vAlign w:val="center"/>
          </w:tcPr>
          <w:p w14:paraId="243D3453">
            <w:pPr>
              <w:pStyle w:val="21"/>
              <w:spacing w:before="78" w:line="22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全面性</w:t>
            </w:r>
          </w:p>
        </w:tc>
        <w:tc>
          <w:tcPr>
            <w:tcW w:w="735" w:type="dxa"/>
            <w:vMerge w:val="restart"/>
            <w:tcBorders>
              <w:bottom w:val="nil"/>
            </w:tcBorders>
            <w:vAlign w:val="center"/>
          </w:tcPr>
          <w:p w14:paraId="3B79D5FD">
            <w:pPr>
              <w:pStyle w:val="21"/>
              <w:spacing w:before="78" w:line="22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10分</w:t>
            </w:r>
          </w:p>
        </w:tc>
        <w:tc>
          <w:tcPr>
            <w:tcW w:w="6961" w:type="dxa"/>
            <w:vAlign w:val="top"/>
          </w:tcPr>
          <w:p w14:paraId="7CFC8182">
            <w:pPr>
              <w:pStyle w:val="21"/>
              <w:keepNext w:val="0"/>
              <w:keepLines w:val="0"/>
              <w:pageBreakBefore w:val="0"/>
              <w:widowControl/>
              <w:kinsoku w:val="0"/>
              <w:wordWrap/>
              <w:overflowPunct/>
              <w:topLinePunct w:val="0"/>
              <w:autoSpaceDE w:val="0"/>
              <w:autoSpaceDN w:val="0"/>
              <w:bidi w:val="0"/>
              <w:adjustRightInd w:val="0"/>
              <w:snapToGrid w:val="0"/>
              <w:spacing w:before="110" w:line="240" w:lineRule="exact"/>
              <w:ind w:left="114"/>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施工方法先进得2分，一般得1分，没有不得分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04C55648">
            <w:pPr>
              <w:rPr>
                <w:rFonts w:hint="eastAsia" w:ascii="仿宋" w:hAnsi="仿宋" w:eastAsia="仿宋" w:cs="仿宋"/>
                <w:color w:val="auto"/>
                <w:sz w:val="21"/>
                <w:szCs w:val="21"/>
                <w:highlight w:val="none"/>
              </w:rPr>
            </w:pPr>
          </w:p>
        </w:tc>
      </w:tr>
      <w:tr w14:paraId="5FA63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jc w:val="center"/>
        </w:trPr>
        <w:tc>
          <w:tcPr>
            <w:tcW w:w="463" w:type="dxa"/>
            <w:vMerge w:val="continue"/>
            <w:tcBorders>
              <w:top w:val="nil"/>
              <w:bottom w:val="nil"/>
            </w:tcBorders>
            <w:vAlign w:val="center"/>
          </w:tcPr>
          <w:p w14:paraId="05344BE4">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67DB0A8A">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1970B370">
            <w:pPr>
              <w:jc w:val="center"/>
              <w:rPr>
                <w:rFonts w:hint="eastAsia" w:ascii="仿宋" w:hAnsi="仿宋" w:eastAsia="仿宋" w:cs="仿宋"/>
                <w:color w:val="auto"/>
                <w:sz w:val="21"/>
                <w:szCs w:val="21"/>
                <w:highlight w:val="none"/>
              </w:rPr>
            </w:pPr>
          </w:p>
        </w:tc>
        <w:tc>
          <w:tcPr>
            <w:tcW w:w="6961" w:type="dxa"/>
            <w:vAlign w:val="top"/>
          </w:tcPr>
          <w:p w14:paraId="10D77507">
            <w:pPr>
              <w:pStyle w:val="21"/>
              <w:keepNext w:val="0"/>
              <w:keepLines w:val="0"/>
              <w:pageBreakBefore w:val="0"/>
              <w:widowControl/>
              <w:kinsoku w:val="0"/>
              <w:wordWrap/>
              <w:overflowPunct/>
              <w:topLinePunct w:val="0"/>
              <w:autoSpaceDE w:val="0"/>
              <w:autoSpaceDN w:val="0"/>
              <w:bidi w:val="0"/>
              <w:adjustRightInd w:val="0"/>
              <w:snapToGrid w:val="0"/>
              <w:spacing w:before="110" w:line="240" w:lineRule="exact"/>
              <w:ind w:left="114"/>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施工设备、劳动力计划合理得2分，一般得1分，没有不得分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331F803B">
            <w:pPr>
              <w:rPr>
                <w:rFonts w:hint="eastAsia" w:ascii="仿宋" w:hAnsi="仿宋" w:eastAsia="仿宋" w:cs="仿宋"/>
                <w:color w:val="auto"/>
                <w:sz w:val="21"/>
                <w:szCs w:val="21"/>
                <w:highlight w:val="none"/>
              </w:rPr>
            </w:pPr>
          </w:p>
        </w:tc>
      </w:tr>
      <w:tr w14:paraId="5BEA8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jc w:val="center"/>
        </w:trPr>
        <w:tc>
          <w:tcPr>
            <w:tcW w:w="463" w:type="dxa"/>
            <w:vMerge w:val="continue"/>
            <w:tcBorders>
              <w:top w:val="nil"/>
              <w:bottom w:val="nil"/>
            </w:tcBorders>
            <w:vAlign w:val="center"/>
          </w:tcPr>
          <w:p w14:paraId="343349E0">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4CD6D981">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0923CE8F">
            <w:pPr>
              <w:jc w:val="center"/>
              <w:rPr>
                <w:rFonts w:hint="eastAsia" w:ascii="仿宋" w:hAnsi="仿宋" w:eastAsia="仿宋" w:cs="仿宋"/>
                <w:color w:val="auto"/>
                <w:sz w:val="21"/>
                <w:szCs w:val="21"/>
                <w:highlight w:val="none"/>
              </w:rPr>
            </w:pPr>
          </w:p>
        </w:tc>
        <w:tc>
          <w:tcPr>
            <w:tcW w:w="6961" w:type="dxa"/>
            <w:vAlign w:val="top"/>
          </w:tcPr>
          <w:p w14:paraId="71D846F1">
            <w:pPr>
              <w:pStyle w:val="21"/>
              <w:keepNext w:val="0"/>
              <w:keepLines w:val="0"/>
              <w:pageBreakBefore w:val="0"/>
              <w:widowControl/>
              <w:kinsoku w:val="0"/>
              <w:wordWrap/>
              <w:overflowPunct/>
              <w:topLinePunct w:val="0"/>
              <w:autoSpaceDE w:val="0"/>
              <w:autoSpaceDN w:val="0"/>
              <w:bidi w:val="0"/>
              <w:adjustRightInd w:val="0"/>
              <w:snapToGrid w:val="0"/>
              <w:spacing w:before="112" w:line="240" w:lineRule="exact"/>
              <w:ind w:left="115"/>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确保工程质量、工期、安全措施得力得2分，没有不得分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6F7DC82B">
            <w:pPr>
              <w:rPr>
                <w:rFonts w:hint="eastAsia" w:ascii="仿宋" w:hAnsi="仿宋" w:eastAsia="仿宋" w:cs="仿宋"/>
                <w:color w:val="auto"/>
                <w:sz w:val="21"/>
                <w:szCs w:val="21"/>
                <w:highlight w:val="none"/>
              </w:rPr>
            </w:pPr>
          </w:p>
        </w:tc>
      </w:tr>
      <w:tr w14:paraId="764AB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63" w:type="dxa"/>
            <w:vMerge w:val="continue"/>
            <w:tcBorders>
              <w:top w:val="nil"/>
              <w:bottom w:val="nil"/>
            </w:tcBorders>
            <w:vAlign w:val="center"/>
          </w:tcPr>
          <w:p w14:paraId="6348748D">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4B6654FC">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421EF227">
            <w:pPr>
              <w:jc w:val="center"/>
              <w:rPr>
                <w:rFonts w:hint="eastAsia" w:ascii="仿宋" w:hAnsi="仿宋" w:eastAsia="仿宋" w:cs="仿宋"/>
                <w:color w:val="auto"/>
                <w:sz w:val="21"/>
                <w:szCs w:val="21"/>
                <w:highlight w:val="none"/>
              </w:rPr>
            </w:pPr>
          </w:p>
        </w:tc>
        <w:tc>
          <w:tcPr>
            <w:tcW w:w="6961" w:type="dxa"/>
            <w:vAlign w:val="top"/>
          </w:tcPr>
          <w:p w14:paraId="658DD4A6">
            <w:pPr>
              <w:pStyle w:val="21"/>
              <w:keepNext w:val="0"/>
              <w:keepLines w:val="0"/>
              <w:pageBreakBefore w:val="0"/>
              <w:widowControl/>
              <w:kinsoku w:val="0"/>
              <w:wordWrap/>
              <w:overflowPunct/>
              <w:topLinePunct w:val="0"/>
              <w:autoSpaceDE w:val="0"/>
              <w:autoSpaceDN w:val="0"/>
              <w:bidi w:val="0"/>
              <w:adjustRightInd w:val="0"/>
              <w:snapToGrid w:val="0"/>
              <w:spacing w:before="110" w:line="240" w:lineRule="exact"/>
              <w:ind w:left="117"/>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文明施工措施可信度高得2分，没有不得分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20DEDDE8">
            <w:pPr>
              <w:rPr>
                <w:rFonts w:hint="eastAsia" w:ascii="仿宋" w:hAnsi="仿宋" w:eastAsia="仿宋" w:cs="仿宋"/>
                <w:color w:val="auto"/>
                <w:sz w:val="21"/>
                <w:szCs w:val="21"/>
                <w:highlight w:val="none"/>
              </w:rPr>
            </w:pPr>
          </w:p>
        </w:tc>
      </w:tr>
      <w:tr w14:paraId="5CE74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jc w:val="center"/>
        </w:trPr>
        <w:tc>
          <w:tcPr>
            <w:tcW w:w="463" w:type="dxa"/>
            <w:vMerge w:val="continue"/>
            <w:tcBorders>
              <w:top w:val="nil"/>
            </w:tcBorders>
            <w:vAlign w:val="center"/>
          </w:tcPr>
          <w:p w14:paraId="5AB59A70">
            <w:pPr>
              <w:jc w:val="center"/>
              <w:rPr>
                <w:rFonts w:hint="eastAsia" w:ascii="仿宋" w:hAnsi="仿宋" w:eastAsia="仿宋" w:cs="仿宋"/>
                <w:color w:val="auto"/>
                <w:sz w:val="21"/>
                <w:szCs w:val="21"/>
                <w:highlight w:val="none"/>
              </w:rPr>
            </w:pPr>
          </w:p>
        </w:tc>
        <w:tc>
          <w:tcPr>
            <w:tcW w:w="1241" w:type="dxa"/>
            <w:vMerge w:val="continue"/>
            <w:tcBorders>
              <w:top w:val="nil"/>
            </w:tcBorders>
            <w:vAlign w:val="center"/>
          </w:tcPr>
          <w:p w14:paraId="47EFC938">
            <w:pPr>
              <w:jc w:val="center"/>
              <w:rPr>
                <w:rFonts w:hint="eastAsia" w:ascii="仿宋" w:hAnsi="仿宋" w:eastAsia="仿宋" w:cs="仿宋"/>
                <w:color w:val="auto"/>
                <w:sz w:val="21"/>
                <w:szCs w:val="21"/>
                <w:highlight w:val="none"/>
              </w:rPr>
            </w:pPr>
          </w:p>
        </w:tc>
        <w:tc>
          <w:tcPr>
            <w:tcW w:w="735" w:type="dxa"/>
            <w:vMerge w:val="continue"/>
            <w:tcBorders>
              <w:top w:val="nil"/>
            </w:tcBorders>
            <w:vAlign w:val="center"/>
          </w:tcPr>
          <w:p w14:paraId="7CF02F18">
            <w:pPr>
              <w:jc w:val="center"/>
              <w:rPr>
                <w:rFonts w:hint="eastAsia" w:ascii="仿宋" w:hAnsi="仿宋" w:eastAsia="仿宋" w:cs="仿宋"/>
                <w:color w:val="auto"/>
                <w:sz w:val="21"/>
                <w:szCs w:val="21"/>
                <w:highlight w:val="none"/>
              </w:rPr>
            </w:pPr>
          </w:p>
        </w:tc>
        <w:tc>
          <w:tcPr>
            <w:tcW w:w="6961" w:type="dxa"/>
            <w:vAlign w:val="top"/>
          </w:tcPr>
          <w:p w14:paraId="060658F6">
            <w:pPr>
              <w:pStyle w:val="21"/>
              <w:keepNext w:val="0"/>
              <w:keepLines w:val="0"/>
              <w:pageBreakBefore w:val="0"/>
              <w:widowControl/>
              <w:kinsoku w:val="0"/>
              <w:wordWrap/>
              <w:overflowPunct/>
              <w:topLinePunct w:val="0"/>
              <w:autoSpaceDE w:val="0"/>
              <w:autoSpaceDN w:val="0"/>
              <w:bidi w:val="0"/>
              <w:adjustRightInd w:val="0"/>
              <w:snapToGrid w:val="0"/>
              <w:spacing w:before="112" w:line="240" w:lineRule="exact"/>
              <w:ind w:left="114"/>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施工总进度计划合理得2分，没有不得分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313E2147">
            <w:pPr>
              <w:rPr>
                <w:rFonts w:hint="eastAsia" w:ascii="仿宋" w:hAnsi="仿宋" w:eastAsia="仿宋" w:cs="仿宋"/>
                <w:color w:val="auto"/>
                <w:sz w:val="21"/>
                <w:szCs w:val="21"/>
                <w:highlight w:val="none"/>
              </w:rPr>
            </w:pPr>
          </w:p>
        </w:tc>
      </w:tr>
      <w:tr w14:paraId="13176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463" w:type="dxa"/>
            <w:vMerge w:val="restart"/>
            <w:tcBorders>
              <w:bottom w:val="nil"/>
            </w:tcBorders>
            <w:vAlign w:val="center"/>
          </w:tcPr>
          <w:p w14:paraId="2B44714E">
            <w:pPr>
              <w:pStyle w:val="21"/>
              <w:spacing w:before="78" w:line="183"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41" w:type="dxa"/>
            <w:vMerge w:val="restart"/>
            <w:tcBorders>
              <w:bottom w:val="nil"/>
            </w:tcBorders>
            <w:vAlign w:val="center"/>
          </w:tcPr>
          <w:p w14:paraId="59235CA7">
            <w:pPr>
              <w:pStyle w:val="21"/>
              <w:spacing w:before="78" w:line="22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可行性</w:t>
            </w:r>
          </w:p>
        </w:tc>
        <w:tc>
          <w:tcPr>
            <w:tcW w:w="735" w:type="dxa"/>
            <w:vMerge w:val="restart"/>
            <w:tcBorders>
              <w:bottom w:val="nil"/>
            </w:tcBorders>
            <w:vAlign w:val="center"/>
          </w:tcPr>
          <w:p w14:paraId="616FBF7B">
            <w:pPr>
              <w:pStyle w:val="21"/>
              <w:spacing w:before="78" w:line="22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10分</w:t>
            </w:r>
          </w:p>
        </w:tc>
        <w:tc>
          <w:tcPr>
            <w:tcW w:w="6961" w:type="dxa"/>
            <w:vAlign w:val="top"/>
          </w:tcPr>
          <w:p w14:paraId="7E16DFBF">
            <w:pPr>
              <w:pStyle w:val="21"/>
              <w:keepNext w:val="0"/>
              <w:keepLines w:val="0"/>
              <w:pageBreakBefore w:val="0"/>
              <w:widowControl/>
              <w:kinsoku w:val="0"/>
              <w:wordWrap/>
              <w:overflowPunct/>
              <w:topLinePunct w:val="0"/>
              <w:autoSpaceDE w:val="0"/>
              <w:autoSpaceDN w:val="0"/>
              <w:bidi w:val="0"/>
              <w:adjustRightInd w:val="0"/>
              <w:snapToGrid w:val="0"/>
              <w:spacing w:before="110" w:line="240" w:lineRule="exact"/>
              <w:ind w:left="117"/>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涉及主要内容齐全措施计划详尽得2分，一般得1分，没有不得分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513C2476">
            <w:pPr>
              <w:rPr>
                <w:rFonts w:hint="eastAsia" w:ascii="仿宋" w:hAnsi="仿宋" w:eastAsia="仿宋" w:cs="仿宋"/>
                <w:color w:val="auto"/>
                <w:sz w:val="21"/>
                <w:szCs w:val="21"/>
                <w:highlight w:val="none"/>
              </w:rPr>
            </w:pPr>
          </w:p>
        </w:tc>
      </w:tr>
      <w:tr w14:paraId="4A430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463" w:type="dxa"/>
            <w:vMerge w:val="continue"/>
            <w:tcBorders>
              <w:top w:val="nil"/>
              <w:bottom w:val="nil"/>
            </w:tcBorders>
            <w:vAlign w:val="center"/>
          </w:tcPr>
          <w:p w14:paraId="041E6DCA">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135D46CB">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3E47484C">
            <w:pPr>
              <w:jc w:val="center"/>
              <w:rPr>
                <w:rFonts w:hint="eastAsia" w:ascii="仿宋" w:hAnsi="仿宋" w:eastAsia="仿宋" w:cs="仿宋"/>
                <w:color w:val="auto"/>
                <w:sz w:val="21"/>
                <w:szCs w:val="21"/>
                <w:highlight w:val="none"/>
              </w:rPr>
            </w:pPr>
          </w:p>
        </w:tc>
        <w:tc>
          <w:tcPr>
            <w:tcW w:w="6961" w:type="dxa"/>
            <w:vAlign w:val="top"/>
          </w:tcPr>
          <w:p w14:paraId="0FB58EF9">
            <w:pPr>
              <w:pStyle w:val="21"/>
              <w:keepNext w:val="0"/>
              <w:keepLines w:val="0"/>
              <w:pageBreakBefore w:val="0"/>
              <w:widowControl/>
              <w:kinsoku w:val="0"/>
              <w:wordWrap/>
              <w:overflowPunct/>
              <w:topLinePunct w:val="0"/>
              <w:autoSpaceDE w:val="0"/>
              <w:autoSpaceDN w:val="0"/>
              <w:bidi w:val="0"/>
              <w:adjustRightInd w:val="0"/>
              <w:snapToGrid w:val="0"/>
              <w:spacing w:before="111" w:line="240" w:lineRule="exact"/>
              <w:ind w:left="116"/>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流水段的划分合理得2分，一般得1分，没有不得分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39DFD167">
            <w:pPr>
              <w:rPr>
                <w:rFonts w:hint="eastAsia" w:ascii="仿宋" w:hAnsi="仿宋" w:eastAsia="仿宋" w:cs="仿宋"/>
                <w:color w:val="auto"/>
                <w:sz w:val="21"/>
                <w:szCs w:val="21"/>
                <w:highlight w:val="none"/>
              </w:rPr>
            </w:pPr>
          </w:p>
        </w:tc>
      </w:tr>
      <w:tr w14:paraId="615D0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63" w:type="dxa"/>
            <w:vMerge w:val="continue"/>
            <w:tcBorders>
              <w:top w:val="nil"/>
              <w:bottom w:val="nil"/>
            </w:tcBorders>
            <w:vAlign w:val="center"/>
          </w:tcPr>
          <w:p w14:paraId="2F33F8DC">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3387FA37">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70426004">
            <w:pPr>
              <w:jc w:val="center"/>
              <w:rPr>
                <w:rFonts w:hint="eastAsia" w:ascii="仿宋" w:hAnsi="仿宋" w:eastAsia="仿宋" w:cs="仿宋"/>
                <w:color w:val="auto"/>
                <w:sz w:val="21"/>
                <w:szCs w:val="21"/>
                <w:highlight w:val="none"/>
              </w:rPr>
            </w:pPr>
          </w:p>
        </w:tc>
        <w:tc>
          <w:tcPr>
            <w:tcW w:w="6961" w:type="dxa"/>
            <w:vAlign w:val="top"/>
          </w:tcPr>
          <w:p w14:paraId="1231214B">
            <w:pPr>
              <w:pStyle w:val="21"/>
              <w:keepNext w:val="0"/>
              <w:keepLines w:val="0"/>
              <w:pageBreakBefore w:val="0"/>
              <w:widowControl/>
              <w:kinsoku w:val="0"/>
              <w:wordWrap/>
              <w:overflowPunct/>
              <w:topLinePunct w:val="0"/>
              <w:autoSpaceDE w:val="0"/>
              <w:autoSpaceDN w:val="0"/>
              <w:bidi w:val="0"/>
              <w:adjustRightInd w:val="0"/>
              <w:snapToGrid w:val="0"/>
              <w:spacing w:before="112" w:line="240" w:lineRule="exact"/>
              <w:ind w:left="116"/>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流水作业的合理性得2分，没有不得分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0D1E5624">
            <w:pPr>
              <w:rPr>
                <w:rFonts w:hint="eastAsia" w:ascii="仿宋" w:hAnsi="仿宋" w:eastAsia="仿宋" w:cs="仿宋"/>
                <w:color w:val="auto"/>
                <w:sz w:val="21"/>
                <w:szCs w:val="21"/>
                <w:highlight w:val="none"/>
              </w:rPr>
            </w:pPr>
          </w:p>
        </w:tc>
      </w:tr>
      <w:tr w14:paraId="31C8B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463" w:type="dxa"/>
            <w:vMerge w:val="continue"/>
            <w:tcBorders>
              <w:top w:val="nil"/>
              <w:bottom w:val="nil"/>
            </w:tcBorders>
            <w:vAlign w:val="center"/>
          </w:tcPr>
          <w:p w14:paraId="6509B1B3">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4C22E5DD">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0382AC1E">
            <w:pPr>
              <w:jc w:val="center"/>
              <w:rPr>
                <w:rFonts w:hint="eastAsia" w:ascii="仿宋" w:hAnsi="仿宋" w:eastAsia="仿宋" w:cs="仿宋"/>
                <w:color w:val="auto"/>
                <w:sz w:val="21"/>
                <w:szCs w:val="21"/>
                <w:highlight w:val="none"/>
              </w:rPr>
            </w:pPr>
          </w:p>
        </w:tc>
        <w:tc>
          <w:tcPr>
            <w:tcW w:w="6961" w:type="dxa"/>
            <w:vAlign w:val="top"/>
          </w:tcPr>
          <w:p w14:paraId="00A10CE5">
            <w:pPr>
              <w:pStyle w:val="21"/>
              <w:keepNext w:val="0"/>
              <w:keepLines w:val="0"/>
              <w:pageBreakBefore w:val="0"/>
              <w:widowControl/>
              <w:kinsoku w:val="0"/>
              <w:wordWrap/>
              <w:overflowPunct/>
              <w:topLinePunct w:val="0"/>
              <w:autoSpaceDE w:val="0"/>
              <w:autoSpaceDN w:val="0"/>
              <w:bidi w:val="0"/>
              <w:adjustRightInd w:val="0"/>
              <w:snapToGrid w:val="0"/>
              <w:spacing w:before="114" w:line="240" w:lineRule="exact"/>
              <w:ind w:left="118"/>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各项交叉作业切合实际得2分，没有不得分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2E5DC900">
            <w:pPr>
              <w:rPr>
                <w:rFonts w:hint="eastAsia" w:ascii="仿宋" w:hAnsi="仿宋" w:eastAsia="仿宋" w:cs="仿宋"/>
                <w:color w:val="auto"/>
                <w:sz w:val="21"/>
                <w:szCs w:val="21"/>
                <w:highlight w:val="none"/>
              </w:rPr>
            </w:pPr>
          </w:p>
        </w:tc>
      </w:tr>
      <w:tr w14:paraId="0D725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463" w:type="dxa"/>
            <w:vMerge w:val="continue"/>
            <w:tcBorders>
              <w:top w:val="nil"/>
            </w:tcBorders>
            <w:vAlign w:val="center"/>
          </w:tcPr>
          <w:p w14:paraId="55FF4606">
            <w:pPr>
              <w:jc w:val="center"/>
              <w:rPr>
                <w:rFonts w:hint="eastAsia" w:ascii="仿宋" w:hAnsi="仿宋" w:eastAsia="仿宋" w:cs="仿宋"/>
                <w:color w:val="auto"/>
                <w:sz w:val="21"/>
                <w:szCs w:val="21"/>
                <w:highlight w:val="none"/>
              </w:rPr>
            </w:pPr>
          </w:p>
        </w:tc>
        <w:tc>
          <w:tcPr>
            <w:tcW w:w="1241" w:type="dxa"/>
            <w:vMerge w:val="continue"/>
            <w:tcBorders>
              <w:top w:val="nil"/>
            </w:tcBorders>
            <w:vAlign w:val="center"/>
          </w:tcPr>
          <w:p w14:paraId="01757C27">
            <w:pPr>
              <w:jc w:val="center"/>
              <w:rPr>
                <w:rFonts w:hint="eastAsia" w:ascii="仿宋" w:hAnsi="仿宋" w:eastAsia="仿宋" w:cs="仿宋"/>
                <w:color w:val="auto"/>
                <w:sz w:val="21"/>
                <w:szCs w:val="21"/>
                <w:highlight w:val="none"/>
              </w:rPr>
            </w:pPr>
          </w:p>
        </w:tc>
        <w:tc>
          <w:tcPr>
            <w:tcW w:w="735" w:type="dxa"/>
            <w:vMerge w:val="continue"/>
            <w:tcBorders>
              <w:top w:val="nil"/>
            </w:tcBorders>
            <w:vAlign w:val="center"/>
          </w:tcPr>
          <w:p w14:paraId="304A619D">
            <w:pPr>
              <w:jc w:val="center"/>
              <w:rPr>
                <w:rFonts w:hint="eastAsia" w:ascii="仿宋" w:hAnsi="仿宋" w:eastAsia="仿宋" w:cs="仿宋"/>
                <w:color w:val="auto"/>
                <w:sz w:val="21"/>
                <w:szCs w:val="21"/>
                <w:highlight w:val="none"/>
              </w:rPr>
            </w:pPr>
          </w:p>
        </w:tc>
        <w:tc>
          <w:tcPr>
            <w:tcW w:w="6961" w:type="dxa"/>
            <w:vAlign w:val="top"/>
          </w:tcPr>
          <w:p w14:paraId="41D54885">
            <w:pPr>
              <w:pStyle w:val="21"/>
              <w:keepNext w:val="0"/>
              <w:keepLines w:val="0"/>
              <w:pageBreakBefore w:val="0"/>
              <w:widowControl/>
              <w:kinsoku w:val="0"/>
              <w:wordWrap/>
              <w:overflowPunct/>
              <w:topLinePunct w:val="0"/>
              <w:autoSpaceDE w:val="0"/>
              <w:autoSpaceDN w:val="0"/>
              <w:bidi w:val="0"/>
              <w:adjustRightInd w:val="0"/>
              <w:snapToGrid w:val="0"/>
              <w:spacing w:before="111" w:line="240" w:lineRule="exact"/>
              <w:ind w:left="114"/>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机具合理可行得2分，没有不得分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63E36317">
            <w:pPr>
              <w:rPr>
                <w:rFonts w:hint="eastAsia" w:ascii="仿宋" w:hAnsi="仿宋" w:eastAsia="仿宋" w:cs="仿宋"/>
                <w:color w:val="auto"/>
                <w:sz w:val="21"/>
                <w:szCs w:val="21"/>
                <w:highlight w:val="none"/>
              </w:rPr>
            </w:pPr>
          </w:p>
        </w:tc>
      </w:tr>
      <w:tr w14:paraId="78AA3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jc w:val="center"/>
        </w:trPr>
        <w:tc>
          <w:tcPr>
            <w:tcW w:w="463" w:type="dxa"/>
            <w:vMerge w:val="restart"/>
            <w:tcBorders>
              <w:bottom w:val="nil"/>
            </w:tcBorders>
            <w:vAlign w:val="center"/>
          </w:tcPr>
          <w:p w14:paraId="5584FC45">
            <w:pPr>
              <w:pStyle w:val="21"/>
              <w:spacing w:before="78" w:line="183"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241" w:type="dxa"/>
            <w:vMerge w:val="restart"/>
            <w:tcBorders>
              <w:bottom w:val="nil"/>
            </w:tcBorders>
            <w:vAlign w:val="center"/>
          </w:tcPr>
          <w:p w14:paraId="4C2D989A">
            <w:pPr>
              <w:pStyle w:val="21"/>
              <w:spacing w:before="78" w:line="221" w:lineRule="auto"/>
              <w:jc w:val="center"/>
              <w:rPr>
                <w:rFonts w:hint="eastAsia" w:ascii="仿宋" w:hAnsi="仿宋" w:eastAsia="仿宋" w:cs="仿宋"/>
                <w:color w:val="auto"/>
                <w:spacing w:val="-4"/>
                <w:sz w:val="21"/>
                <w:szCs w:val="21"/>
                <w:highlight w:val="none"/>
              </w:rPr>
            </w:pPr>
          </w:p>
          <w:p w14:paraId="3C9767FA">
            <w:pPr>
              <w:pStyle w:val="21"/>
              <w:spacing w:before="78" w:line="221"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针对性</w:t>
            </w:r>
          </w:p>
          <w:p w14:paraId="528B6CFC">
            <w:pPr>
              <w:pStyle w:val="21"/>
              <w:spacing w:before="178" w:line="220" w:lineRule="auto"/>
              <w:ind w:left="131"/>
              <w:jc w:val="center"/>
              <w:outlineLvl w:val="1"/>
              <w:rPr>
                <w:rFonts w:hint="eastAsia" w:ascii="仿宋" w:hAnsi="仿宋" w:eastAsia="仿宋" w:cs="仿宋"/>
                <w:color w:val="auto"/>
                <w:sz w:val="21"/>
                <w:szCs w:val="21"/>
                <w:highlight w:val="none"/>
              </w:rPr>
            </w:pPr>
          </w:p>
        </w:tc>
        <w:tc>
          <w:tcPr>
            <w:tcW w:w="735" w:type="dxa"/>
            <w:vMerge w:val="restart"/>
            <w:tcBorders>
              <w:bottom w:val="nil"/>
            </w:tcBorders>
            <w:vAlign w:val="center"/>
          </w:tcPr>
          <w:p w14:paraId="3D2DAA7A">
            <w:pPr>
              <w:pStyle w:val="21"/>
              <w:spacing w:before="78" w:line="22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14分</w:t>
            </w:r>
          </w:p>
        </w:tc>
        <w:tc>
          <w:tcPr>
            <w:tcW w:w="6961" w:type="dxa"/>
            <w:vAlign w:val="top"/>
          </w:tcPr>
          <w:p w14:paraId="4E352449">
            <w:pPr>
              <w:pStyle w:val="21"/>
              <w:keepNext w:val="0"/>
              <w:keepLines w:val="0"/>
              <w:pageBreakBefore w:val="0"/>
              <w:widowControl/>
              <w:kinsoku w:val="0"/>
              <w:wordWrap/>
              <w:overflowPunct/>
              <w:topLinePunct w:val="0"/>
              <w:autoSpaceDE w:val="0"/>
              <w:autoSpaceDN w:val="0"/>
              <w:bidi w:val="0"/>
              <w:adjustRightInd w:val="0"/>
              <w:snapToGrid w:val="0"/>
              <w:spacing w:before="112" w:line="240" w:lineRule="exact"/>
              <w:ind w:left="117"/>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涉及重点内容突出得4分、尚可得2分，一般得1分，没有不得分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1405C4A7">
            <w:pPr>
              <w:rPr>
                <w:rFonts w:hint="eastAsia" w:ascii="仿宋" w:hAnsi="仿宋" w:eastAsia="仿宋" w:cs="仿宋"/>
                <w:color w:val="auto"/>
                <w:sz w:val="21"/>
                <w:szCs w:val="21"/>
                <w:highlight w:val="none"/>
              </w:rPr>
            </w:pPr>
          </w:p>
        </w:tc>
      </w:tr>
      <w:tr w14:paraId="4A6B1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jc w:val="center"/>
        </w:trPr>
        <w:tc>
          <w:tcPr>
            <w:tcW w:w="463" w:type="dxa"/>
            <w:vMerge w:val="continue"/>
            <w:tcBorders>
              <w:top w:val="nil"/>
              <w:bottom w:val="nil"/>
            </w:tcBorders>
            <w:vAlign w:val="center"/>
          </w:tcPr>
          <w:p w14:paraId="74FB8E19">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1E0E4CC0">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1B596F4C">
            <w:pPr>
              <w:jc w:val="center"/>
              <w:rPr>
                <w:rFonts w:hint="eastAsia" w:ascii="仿宋" w:hAnsi="仿宋" w:eastAsia="仿宋" w:cs="仿宋"/>
                <w:color w:val="auto"/>
                <w:sz w:val="21"/>
                <w:szCs w:val="21"/>
                <w:highlight w:val="none"/>
              </w:rPr>
            </w:pPr>
          </w:p>
        </w:tc>
        <w:tc>
          <w:tcPr>
            <w:tcW w:w="6961" w:type="dxa"/>
            <w:vAlign w:val="top"/>
          </w:tcPr>
          <w:p w14:paraId="2D669D22">
            <w:pPr>
              <w:pStyle w:val="21"/>
              <w:keepNext w:val="0"/>
              <w:keepLines w:val="0"/>
              <w:pageBreakBefore w:val="0"/>
              <w:widowControl/>
              <w:kinsoku w:val="0"/>
              <w:wordWrap/>
              <w:overflowPunct/>
              <w:topLinePunct w:val="0"/>
              <w:autoSpaceDE w:val="0"/>
              <w:autoSpaceDN w:val="0"/>
              <w:bidi w:val="0"/>
              <w:adjustRightInd w:val="0"/>
              <w:snapToGrid w:val="0"/>
              <w:spacing w:before="108" w:line="240" w:lineRule="exact"/>
              <w:ind w:left="118"/>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工程项目的质保体系健全得2分，没有不得分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372F09E3">
            <w:pPr>
              <w:rPr>
                <w:rFonts w:hint="eastAsia" w:ascii="仿宋" w:hAnsi="仿宋" w:eastAsia="仿宋" w:cs="仿宋"/>
                <w:color w:val="auto"/>
                <w:sz w:val="21"/>
                <w:szCs w:val="21"/>
                <w:highlight w:val="none"/>
              </w:rPr>
            </w:pPr>
          </w:p>
        </w:tc>
      </w:tr>
      <w:tr w14:paraId="51885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jc w:val="center"/>
        </w:trPr>
        <w:tc>
          <w:tcPr>
            <w:tcW w:w="463" w:type="dxa"/>
            <w:vMerge w:val="continue"/>
            <w:tcBorders>
              <w:top w:val="nil"/>
              <w:bottom w:val="nil"/>
            </w:tcBorders>
            <w:vAlign w:val="center"/>
          </w:tcPr>
          <w:p w14:paraId="46C8314B">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5A1D77FE">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2435A3DE">
            <w:pPr>
              <w:jc w:val="center"/>
              <w:rPr>
                <w:rFonts w:hint="eastAsia" w:ascii="仿宋" w:hAnsi="仿宋" w:eastAsia="仿宋" w:cs="仿宋"/>
                <w:color w:val="auto"/>
                <w:sz w:val="21"/>
                <w:szCs w:val="21"/>
                <w:highlight w:val="none"/>
              </w:rPr>
            </w:pPr>
          </w:p>
        </w:tc>
        <w:tc>
          <w:tcPr>
            <w:tcW w:w="6961" w:type="dxa"/>
            <w:vAlign w:val="top"/>
          </w:tcPr>
          <w:p w14:paraId="6D502077">
            <w:pPr>
              <w:pStyle w:val="21"/>
              <w:keepNext w:val="0"/>
              <w:keepLines w:val="0"/>
              <w:pageBreakBefore w:val="0"/>
              <w:widowControl/>
              <w:kinsoku w:val="0"/>
              <w:wordWrap/>
              <w:overflowPunct/>
              <w:topLinePunct w:val="0"/>
              <w:autoSpaceDE w:val="0"/>
              <w:autoSpaceDN w:val="0"/>
              <w:bidi w:val="0"/>
              <w:adjustRightInd w:val="0"/>
              <w:snapToGrid w:val="0"/>
              <w:spacing w:before="107" w:line="240" w:lineRule="exact"/>
              <w:ind w:left="119"/>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安保体系健全有效得2分，没有不得分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6FAC4EE6">
            <w:pPr>
              <w:rPr>
                <w:rFonts w:hint="eastAsia" w:ascii="仿宋" w:hAnsi="仿宋" w:eastAsia="仿宋" w:cs="仿宋"/>
                <w:color w:val="auto"/>
                <w:sz w:val="21"/>
                <w:szCs w:val="21"/>
                <w:highlight w:val="none"/>
              </w:rPr>
            </w:pPr>
          </w:p>
        </w:tc>
      </w:tr>
      <w:tr w14:paraId="6CC30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463" w:type="dxa"/>
            <w:vMerge w:val="continue"/>
            <w:tcBorders>
              <w:top w:val="nil"/>
              <w:bottom w:val="nil"/>
            </w:tcBorders>
            <w:vAlign w:val="center"/>
          </w:tcPr>
          <w:p w14:paraId="40634DB5">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42885465">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2513F5BB">
            <w:pPr>
              <w:jc w:val="center"/>
              <w:rPr>
                <w:rFonts w:hint="eastAsia" w:ascii="仿宋" w:hAnsi="仿宋" w:eastAsia="仿宋" w:cs="仿宋"/>
                <w:color w:val="auto"/>
                <w:sz w:val="21"/>
                <w:szCs w:val="21"/>
                <w:highlight w:val="none"/>
              </w:rPr>
            </w:pPr>
          </w:p>
        </w:tc>
        <w:tc>
          <w:tcPr>
            <w:tcW w:w="6961" w:type="dxa"/>
            <w:vAlign w:val="top"/>
          </w:tcPr>
          <w:p w14:paraId="3B9A5985">
            <w:pPr>
              <w:pStyle w:val="21"/>
              <w:keepNext w:val="0"/>
              <w:keepLines w:val="0"/>
              <w:pageBreakBefore w:val="0"/>
              <w:widowControl/>
              <w:kinsoku w:val="0"/>
              <w:wordWrap/>
              <w:overflowPunct/>
              <w:topLinePunct w:val="0"/>
              <w:autoSpaceDE w:val="0"/>
              <w:autoSpaceDN w:val="0"/>
              <w:bidi w:val="0"/>
              <w:adjustRightInd w:val="0"/>
              <w:snapToGrid w:val="0"/>
              <w:spacing w:before="107" w:line="240" w:lineRule="exact"/>
              <w:ind w:left="115"/>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创优措施切实可行得2分，尚可得1分，没有不得分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7824A379">
            <w:pPr>
              <w:rPr>
                <w:rFonts w:hint="eastAsia" w:ascii="仿宋" w:hAnsi="仿宋" w:eastAsia="仿宋" w:cs="仿宋"/>
                <w:color w:val="auto"/>
                <w:sz w:val="21"/>
                <w:szCs w:val="21"/>
                <w:highlight w:val="none"/>
              </w:rPr>
            </w:pPr>
          </w:p>
        </w:tc>
      </w:tr>
      <w:tr w14:paraId="06764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463" w:type="dxa"/>
            <w:vMerge w:val="continue"/>
            <w:tcBorders>
              <w:top w:val="nil"/>
              <w:bottom w:val="nil"/>
            </w:tcBorders>
            <w:vAlign w:val="center"/>
          </w:tcPr>
          <w:p w14:paraId="78046985">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019041F4">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084EFC23">
            <w:pPr>
              <w:jc w:val="center"/>
              <w:rPr>
                <w:rFonts w:hint="eastAsia" w:ascii="仿宋" w:hAnsi="仿宋" w:eastAsia="仿宋" w:cs="仿宋"/>
                <w:color w:val="auto"/>
                <w:sz w:val="21"/>
                <w:szCs w:val="21"/>
                <w:highlight w:val="none"/>
              </w:rPr>
            </w:pPr>
          </w:p>
        </w:tc>
        <w:tc>
          <w:tcPr>
            <w:tcW w:w="6961" w:type="dxa"/>
            <w:vAlign w:val="top"/>
          </w:tcPr>
          <w:p w14:paraId="3AF718B5">
            <w:pPr>
              <w:pStyle w:val="21"/>
              <w:keepNext w:val="0"/>
              <w:keepLines w:val="0"/>
              <w:pageBreakBefore w:val="0"/>
              <w:widowControl/>
              <w:kinsoku w:val="0"/>
              <w:wordWrap/>
              <w:overflowPunct/>
              <w:topLinePunct w:val="0"/>
              <w:autoSpaceDE w:val="0"/>
              <w:autoSpaceDN w:val="0"/>
              <w:bidi w:val="0"/>
              <w:adjustRightInd w:val="0"/>
              <w:snapToGrid w:val="0"/>
              <w:spacing w:before="108" w:line="240" w:lineRule="exact"/>
              <w:ind w:left="118"/>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工程的安全措施得力2分，一般得1分，没有不得分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5707350D">
            <w:pPr>
              <w:rPr>
                <w:rFonts w:hint="eastAsia" w:ascii="仿宋" w:hAnsi="仿宋" w:eastAsia="仿宋" w:cs="仿宋"/>
                <w:color w:val="auto"/>
                <w:sz w:val="21"/>
                <w:szCs w:val="21"/>
                <w:highlight w:val="none"/>
              </w:rPr>
            </w:pPr>
          </w:p>
        </w:tc>
      </w:tr>
      <w:tr w14:paraId="248CC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3" w:hRule="atLeast"/>
          <w:jc w:val="center"/>
        </w:trPr>
        <w:tc>
          <w:tcPr>
            <w:tcW w:w="463" w:type="dxa"/>
            <w:vMerge w:val="continue"/>
            <w:tcBorders>
              <w:top w:val="nil"/>
            </w:tcBorders>
            <w:vAlign w:val="center"/>
          </w:tcPr>
          <w:p w14:paraId="108D4D0D">
            <w:pPr>
              <w:jc w:val="center"/>
              <w:rPr>
                <w:rFonts w:hint="eastAsia" w:ascii="仿宋" w:hAnsi="仿宋" w:eastAsia="仿宋" w:cs="仿宋"/>
                <w:color w:val="auto"/>
                <w:sz w:val="21"/>
                <w:szCs w:val="21"/>
                <w:highlight w:val="none"/>
              </w:rPr>
            </w:pPr>
          </w:p>
        </w:tc>
        <w:tc>
          <w:tcPr>
            <w:tcW w:w="1241" w:type="dxa"/>
            <w:vMerge w:val="continue"/>
            <w:tcBorders>
              <w:top w:val="nil"/>
            </w:tcBorders>
            <w:vAlign w:val="center"/>
          </w:tcPr>
          <w:p w14:paraId="776AAD52">
            <w:pPr>
              <w:jc w:val="center"/>
              <w:rPr>
                <w:rFonts w:hint="eastAsia" w:ascii="仿宋" w:hAnsi="仿宋" w:eastAsia="仿宋" w:cs="仿宋"/>
                <w:color w:val="auto"/>
                <w:sz w:val="21"/>
                <w:szCs w:val="21"/>
                <w:highlight w:val="none"/>
              </w:rPr>
            </w:pPr>
          </w:p>
        </w:tc>
        <w:tc>
          <w:tcPr>
            <w:tcW w:w="735" w:type="dxa"/>
            <w:vMerge w:val="continue"/>
            <w:tcBorders>
              <w:top w:val="nil"/>
            </w:tcBorders>
            <w:vAlign w:val="center"/>
          </w:tcPr>
          <w:p w14:paraId="4AD38C20">
            <w:pPr>
              <w:jc w:val="center"/>
              <w:rPr>
                <w:rFonts w:hint="eastAsia" w:ascii="仿宋" w:hAnsi="仿宋" w:eastAsia="仿宋" w:cs="仿宋"/>
                <w:color w:val="auto"/>
                <w:sz w:val="21"/>
                <w:szCs w:val="21"/>
                <w:highlight w:val="none"/>
              </w:rPr>
            </w:pPr>
          </w:p>
        </w:tc>
        <w:tc>
          <w:tcPr>
            <w:tcW w:w="6961" w:type="dxa"/>
            <w:vAlign w:val="top"/>
          </w:tcPr>
          <w:p w14:paraId="59A72376">
            <w:pPr>
              <w:pStyle w:val="21"/>
              <w:keepNext w:val="0"/>
              <w:keepLines w:val="0"/>
              <w:pageBreakBefore w:val="0"/>
              <w:widowControl/>
              <w:kinsoku w:val="0"/>
              <w:wordWrap/>
              <w:overflowPunct/>
              <w:topLinePunct w:val="0"/>
              <w:autoSpaceDE w:val="0"/>
              <w:autoSpaceDN w:val="0"/>
              <w:bidi w:val="0"/>
              <w:adjustRightInd w:val="0"/>
              <w:snapToGrid w:val="0"/>
              <w:spacing w:before="109" w:line="240" w:lineRule="exact"/>
              <w:ind w:left="117"/>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文明施工措施得力得2分，没有不得分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182F6C22">
            <w:pPr>
              <w:rPr>
                <w:rFonts w:hint="eastAsia" w:ascii="仿宋" w:hAnsi="仿宋" w:eastAsia="仿宋" w:cs="仿宋"/>
                <w:color w:val="auto"/>
                <w:sz w:val="21"/>
                <w:szCs w:val="21"/>
                <w:highlight w:val="none"/>
              </w:rPr>
            </w:pPr>
          </w:p>
        </w:tc>
      </w:tr>
      <w:tr w14:paraId="7E190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jc w:val="center"/>
        </w:trPr>
        <w:tc>
          <w:tcPr>
            <w:tcW w:w="463" w:type="dxa"/>
            <w:vMerge w:val="restart"/>
            <w:tcBorders>
              <w:bottom w:val="nil"/>
            </w:tcBorders>
            <w:vAlign w:val="center"/>
          </w:tcPr>
          <w:p w14:paraId="70C7352F">
            <w:pPr>
              <w:pStyle w:val="21"/>
              <w:spacing w:before="78" w:line="182"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241" w:type="dxa"/>
            <w:vMerge w:val="restart"/>
            <w:tcBorders>
              <w:bottom w:val="nil"/>
            </w:tcBorders>
            <w:vAlign w:val="center"/>
          </w:tcPr>
          <w:p w14:paraId="6882111D">
            <w:pPr>
              <w:pStyle w:val="21"/>
              <w:spacing w:before="78" w:line="219"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先进性</w:t>
            </w:r>
          </w:p>
        </w:tc>
        <w:tc>
          <w:tcPr>
            <w:tcW w:w="735" w:type="dxa"/>
            <w:vMerge w:val="restart"/>
            <w:tcBorders>
              <w:bottom w:val="nil"/>
            </w:tcBorders>
            <w:vAlign w:val="center"/>
          </w:tcPr>
          <w:p w14:paraId="769ABB26">
            <w:pPr>
              <w:pStyle w:val="21"/>
              <w:spacing w:before="78" w:line="22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8分</w:t>
            </w:r>
          </w:p>
        </w:tc>
        <w:tc>
          <w:tcPr>
            <w:tcW w:w="6961" w:type="dxa"/>
            <w:vAlign w:val="top"/>
          </w:tcPr>
          <w:p w14:paraId="47DD1A5F">
            <w:pPr>
              <w:pStyle w:val="21"/>
              <w:keepNext w:val="0"/>
              <w:keepLines w:val="0"/>
              <w:pageBreakBefore w:val="0"/>
              <w:widowControl/>
              <w:kinsoku w:val="0"/>
              <w:wordWrap/>
              <w:overflowPunct/>
              <w:topLinePunct w:val="0"/>
              <w:autoSpaceDE w:val="0"/>
              <w:autoSpaceDN w:val="0"/>
              <w:bidi w:val="0"/>
              <w:adjustRightInd w:val="0"/>
              <w:snapToGrid w:val="0"/>
              <w:spacing w:before="107" w:line="240" w:lineRule="exact"/>
              <w:ind w:left="114"/>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采用新工艺、新技术、新设备各得2分，没有不得分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56558771">
            <w:pPr>
              <w:rPr>
                <w:rFonts w:hint="eastAsia" w:ascii="仿宋" w:hAnsi="仿宋" w:eastAsia="仿宋" w:cs="仿宋"/>
                <w:color w:val="auto"/>
                <w:sz w:val="21"/>
                <w:szCs w:val="21"/>
                <w:highlight w:val="none"/>
              </w:rPr>
            </w:pPr>
          </w:p>
        </w:tc>
      </w:tr>
      <w:tr w14:paraId="26676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463" w:type="dxa"/>
            <w:vMerge w:val="continue"/>
            <w:tcBorders>
              <w:top w:val="nil"/>
              <w:bottom w:val="nil"/>
            </w:tcBorders>
            <w:vAlign w:val="center"/>
          </w:tcPr>
          <w:p w14:paraId="7CAEC922">
            <w:pPr>
              <w:jc w:val="center"/>
              <w:rPr>
                <w:rFonts w:hint="eastAsia" w:ascii="仿宋" w:hAnsi="仿宋" w:eastAsia="仿宋" w:cs="仿宋"/>
                <w:color w:val="auto"/>
                <w:sz w:val="21"/>
                <w:szCs w:val="21"/>
                <w:highlight w:val="none"/>
              </w:rPr>
            </w:pPr>
          </w:p>
        </w:tc>
        <w:tc>
          <w:tcPr>
            <w:tcW w:w="1241" w:type="dxa"/>
            <w:vMerge w:val="continue"/>
            <w:tcBorders>
              <w:top w:val="nil"/>
              <w:bottom w:val="nil"/>
            </w:tcBorders>
            <w:vAlign w:val="center"/>
          </w:tcPr>
          <w:p w14:paraId="39715226">
            <w:pPr>
              <w:jc w:val="center"/>
              <w:rPr>
                <w:rFonts w:hint="eastAsia" w:ascii="仿宋" w:hAnsi="仿宋" w:eastAsia="仿宋" w:cs="仿宋"/>
                <w:color w:val="auto"/>
                <w:sz w:val="21"/>
                <w:szCs w:val="21"/>
                <w:highlight w:val="none"/>
              </w:rPr>
            </w:pPr>
          </w:p>
        </w:tc>
        <w:tc>
          <w:tcPr>
            <w:tcW w:w="735" w:type="dxa"/>
            <w:vMerge w:val="continue"/>
            <w:tcBorders>
              <w:top w:val="nil"/>
              <w:bottom w:val="nil"/>
            </w:tcBorders>
            <w:vAlign w:val="center"/>
          </w:tcPr>
          <w:p w14:paraId="0BDB38C9">
            <w:pPr>
              <w:jc w:val="center"/>
              <w:rPr>
                <w:rFonts w:hint="eastAsia" w:ascii="仿宋" w:hAnsi="仿宋" w:eastAsia="仿宋" w:cs="仿宋"/>
                <w:color w:val="auto"/>
                <w:sz w:val="21"/>
                <w:szCs w:val="21"/>
                <w:highlight w:val="none"/>
              </w:rPr>
            </w:pPr>
          </w:p>
        </w:tc>
        <w:tc>
          <w:tcPr>
            <w:tcW w:w="6961" w:type="dxa"/>
            <w:vAlign w:val="top"/>
          </w:tcPr>
          <w:p w14:paraId="576A1FD6">
            <w:pPr>
              <w:pStyle w:val="21"/>
              <w:keepNext w:val="0"/>
              <w:keepLines w:val="0"/>
              <w:pageBreakBefore w:val="0"/>
              <w:widowControl/>
              <w:kinsoku w:val="0"/>
              <w:wordWrap/>
              <w:overflowPunct/>
              <w:topLinePunct w:val="0"/>
              <w:autoSpaceDE w:val="0"/>
              <w:autoSpaceDN w:val="0"/>
              <w:bidi w:val="0"/>
              <w:adjustRightInd w:val="0"/>
              <w:snapToGrid w:val="0"/>
              <w:spacing w:before="108" w:line="240" w:lineRule="exact"/>
              <w:ind w:left="115" w:right="101" w:hanging="1"/>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在确保工程质量前提下，有降低成本、缩短工期、减轻劳动强度</w:t>
            </w:r>
            <w:r>
              <w:rPr>
                <w:rFonts w:hint="eastAsia" w:ascii="仿宋" w:hAnsi="仿宋" w:eastAsia="仿宋" w:cs="仿宋"/>
                <w:color w:val="auto"/>
                <w:spacing w:val="18"/>
                <w:sz w:val="21"/>
                <w:szCs w:val="21"/>
                <w:highlight w:val="none"/>
              </w:rPr>
              <w:t xml:space="preserve"> </w:t>
            </w:r>
            <w:r>
              <w:rPr>
                <w:rFonts w:hint="eastAsia" w:ascii="仿宋" w:hAnsi="仿宋" w:eastAsia="仿宋" w:cs="仿宋"/>
                <w:color w:val="auto"/>
                <w:spacing w:val="-4"/>
                <w:sz w:val="21"/>
                <w:szCs w:val="21"/>
                <w:highlight w:val="none"/>
              </w:rPr>
              <w:t>提高进度提案者得4分，方案尚可得2分，一般得1分，没有不得分</w:t>
            </w:r>
            <w:r>
              <w:rPr>
                <w:rFonts w:hint="eastAsia" w:ascii="仿宋" w:hAnsi="仿宋" w:eastAsia="仿宋" w:cs="仿宋"/>
                <w:color w:val="auto"/>
                <w:spacing w:val="-4"/>
                <w:sz w:val="21"/>
                <w:szCs w:val="21"/>
                <w:highlight w:val="none"/>
                <w:lang w:eastAsia="zh-CN"/>
              </w:rPr>
              <w:t>。</w:t>
            </w:r>
          </w:p>
        </w:tc>
        <w:tc>
          <w:tcPr>
            <w:tcW w:w="812" w:type="dxa"/>
            <w:vAlign w:val="top"/>
          </w:tcPr>
          <w:p w14:paraId="5E4DB66D">
            <w:pPr>
              <w:rPr>
                <w:rFonts w:hint="eastAsia" w:ascii="仿宋" w:hAnsi="仿宋" w:eastAsia="仿宋" w:cs="仿宋"/>
                <w:color w:val="auto"/>
                <w:sz w:val="21"/>
                <w:szCs w:val="21"/>
                <w:highlight w:val="none"/>
              </w:rPr>
            </w:pPr>
          </w:p>
        </w:tc>
      </w:tr>
      <w:tr w14:paraId="563CD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jc w:val="center"/>
        </w:trPr>
        <w:tc>
          <w:tcPr>
            <w:tcW w:w="463" w:type="dxa"/>
            <w:vMerge w:val="continue"/>
            <w:tcBorders>
              <w:top w:val="nil"/>
            </w:tcBorders>
            <w:vAlign w:val="center"/>
          </w:tcPr>
          <w:p w14:paraId="01C35AF7">
            <w:pPr>
              <w:jc w:val="center"/>
              <w:rPr>
                <w:rFonts w:hint="eastAsia" w:ascii="仿宋" w:hAnsi="仿宋" w:eastAsia="仿宋" w:cs="仿宋"/>
                <w:color w:val="auto"/>
                <w:sz w:val="21"/>
                <w:szCs w:val="21"/>
                <w:highlight w:val="none"/>
              </w:rPr>
            </w:pPr>
          </w:p>
        </w:tc>
        <w:tc>
          <w:tcPr>
            <w:tcW w:w="1241" w:type="dxa"/>
            <w:vMerge w:val="continue"/>
            <w:tcBorders>
              <w:top w:val="nil"/>
            </w:tcBorders>
            <w:vAlign w:val="center"/>
          </w:tcPr>
          <w:p w14:paraId="3560FD25">
            <w:pPr>
              <w:jc w:val="center"/>
              <w:rPr>
                <w:rFonts w:hint="eastAsia" w:ascii="仿宋" w:hAnsi="仿宋" w:eastAsia="仿宋" w:cs="仿宋"/>
                <w:color w:val="auto"/>
                <w:sz w:val="21"/>
                <w:szCs w:val="21"/>
                <w:highlight w:val="none"/>
              </w:rPr>
            </w:pPr>
          </w:p>
        </w:tc>
        <w:tc>
          <w:tcPr>
            <w:tcW w:w="735" w:type="dxa"/>
            <w:vMerge w:val="continue"/>
            <w:tcBorders>
              <w:top w:val="nil"/>
            </w:tcBorders>
            <w:vAlign w:val="center"/>
          </w:tcPr>
          <w:p w14:paraId="4A36DBBA">
            <w:pPr>
              <w:jc w:val="center"/>
              <w:rPr>
                <w:rFonts w:hint="eastAsia" w:ascii="仿宋" w:hAnsi="仿宋" w:eastAsia="仿宋" w:cs="仿宋"/>
                <w:color w:val="auto"/>
                <w:sz w:val="21"/>
                <w:szCs w:val="21"/>
                <w:highlight w:val="none"/>
              </w:rPr>
            </w:pPr>
          </w:p>
        </w:tc>
        <w:tc>
          <w:tcPr>
            <w:tcW w:w="6961" w:type="dxa"/>
            <w:vAlign w:val="top"/>
          </w:tcPr>
          <w:p w14:paraId="6E474097">
            <w:pPr>
              <w:pStyle w:val="21"/>
              <w:keepNext w:val="0"/>
              <w:keepLines w:val="0"/>
              <w:pageBreakBefore w:val="0"/>
              <w:widowControl/>
              <w:kinsoku w:val="0"/>
              <w:wordWrap/>
              <w:overflowPunct/>
              <w:topLinePunct w:val="0"/>
              <w:autoSpaceDE w:val="0"/>
              <w:autoSpaceDN w:val="0"/>
              <w:bidi w:val="0"/>
              <w:adjustRightInd w:val="0"/>
              <w:snapToGrid w:val="0"/>
              <w:spacing w:before="152" w:line="240" w:lineRule="exact"/>
              <w:ind w:left="115"/>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执行国家强制性条文有切实可行的保证措施得2分，没有不得分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5C9EBAC1">
            <w:pPr>
              <w:rPr>
                <w:rFonts w:hint="eastAsia" w:ascii="仿宋" w:hAnsi="仿宋" w:eastAsia="仿宋" w:cs="仿宋"/>
                <w:color w:val="auto"/>
                <w:sz w:val="21"/>
                <w:szCs w:val="21"/>
                <w:highlight w:val="none"/>
              </w:rPr>
            </w:pPr>
          </w:p>
        </w:tc>
      </w:tr>
      <w:tr w14:paraId="76574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jc w:val="center"/>
        </w:trPr>
        <w:tc>
          <w:tcPr>
            <w:tcW w:w="463" w:type="dxa"/>
            <w:vMerge w:val="restart"/>
            <w:tcBorders>
              <w:bottom w:val="nil"/>
            </w:tcBorders>
            <w:vAlign w:val="center"/>
          </w:tcPr>
          <w:p w14:paraId="39C536EE">
            <w:pPr>
              <w:pStyle w:val="21"/>
              <w:spacing w:before="78" w:line="183"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241" w:type="dxa"/>
            <w:vMerge w:val="restart"/>
            <w:tcBorders>
              <w:bottom w:val="nil"/>
            </w:tcBorders>
            <w:vAlign w:val="center"/>
          </w:tcPr>
          <w:p w14:paraId="77696C06">
            <w:pPr>
              <w:pStyle w:val="21"/>
              <w:spacing w:before="78" w:line="22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强制性</w:t>
            </w:r>
          </w:p>
        </w:tc>
        <w:tc>
          <w:tcPr>
            <w:tcW w:w="735" w:type="dxa"/>
            <w:vMerge w:val="restart"/>
            <w:tcBorders>
              <w:bottom w:val="nil"/>
            </w:tcBorders>
            <w:vAlign w:val="center"/>
          </w:tcPr>
          <w:p w14:paraId="39262ED4">
            <w:pPr>
              <w:pStyle w:val="21"/>
              <w:spacing w:before="78" w:line="22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4分</w:t>
            </w:r>
          </w:p>
        </w:tc>
        <w:tc>
          <w:tcPr>
            <w:tcW w:w="6961" w:type="dxa"/>
            <w:vAlign w:val="top"/>
          </w:tcPr>
          <w:p w14:paraId="3FB48243">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ind w:firstLine="208" w:firstLineChars="100"/>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制定了质量通病的防治措施、措施可行得2分，没有不得分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1D6755EC">
            <w:pPr>
              <w:rPr>
                <w:rFonts w:hint="eastAsia" w:ascii="仿宋" w:hAnsi="仿宋" w:eastAsia="仿宋" w:cs="仿宋"/>
                <w:color w:val="auto"/>
                <w:sz w:val="21"/>
                <w:szCs w:val="21"/>
                <w:highlight w:val="none"/>
              </w:rPr>
            </w:pPr>
          </w:p>
        </w:tc>
      </w:tr>
      <w:tr w14:paraId="07E28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463" w:type="dxa"/>
            <w:vMerge w:val="continue"/>
            <w:tcBorders>
              <w:top w:val="nil"/>
            </w:tcBorders>
            <w:vAlign w:val="center"/>
          </w:tcPr>
          <w:p w14:paraId="58A37311">
            <w:pPr>
              <w:jc w:val="center"/>
              <w:rPr>
                <w:rFonts w:hint="eastAsia" w:ascii="仿宋" w:hAnsi="仿宋" w:eastAsia="仿宋" w:cs="仿宋"/>
                <w:color w:val="auto"/>
                <w:sz w:val="21"/>
                <w:szCs w:val="21"/>
                <w:highlight w:val="none"/>
              </w:rPr>
            </w:pPr>
          </w:p>
        </w:tc>
        <w:tc>
          <w:tcPr>
            <w:tcW w:w="1241" w:type="dxa"/>
            <w:vMerge w:val="continue"/>
            <w:tcBorders>
              <w:top w:val="nil"/>
            </w:tcBorders>
            <w:vAlign w:val="center"/>
          </w:tcPr>
          <w:p w14:paraId="5E7C01BD">
            <w:pPr>
              <w:jc w:val="center"/>
              <w:rPr>
                <w:rFonts w:hint="eastAsia" w:ascii="仿宋" w:hAnsi="仿宋" w:eastAsia="仿宋" w:cs="仿宋"/>
                <w:color w:val="auto"/>
                <w:sz w:val="21"/>
                <w:szCs w:val="21"/>
                <w:highlight w:val="none"/>
              </w:rPr>
            </w:pPr>
          </w:p>
        </w:tc>
        <w:tc>
          <w:tcPr>
            <w:tcW w:w="735" w:type="dxa"/>
            <w:vMerge w:val="continue"/>
            <w:tcBorders>
              <w:top w:val="nil"/>
            </w:tcBorders>
            <w:vAlign w:val="center"/>
          </w:tcPr>
          <w:p w14:paraId="5F9A53AB">
            <w:pPr>
              <w:jc w:val="center"/>
              <w:rPr>
                <w:rFonts w:hint="eastAsia" w:ascii="仿宋" w:hAnsi="仿宋" w:eastAsia="仿宋" w:cs="仿宋"/>
                <w:color w:val="auto"/>
                <w:sz w:val="21"/>
                <w:szCs w:val="21"/>
                <w:highlight w:val="none"/>
              </w:rPr>
            </w:pPr>
          </w:p>
        </w:tc>
        <w:tc>
          <w:tcPr>
            <w:tcW w:w="6961" w:type="dxa"/>
            <w:vAlign w:val="top"/>
          </w:tcPr>
          <w:p w14:paraId="354D31D5">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ind w:firstLine="202" w:firstLineChars="100"/>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4"/>
                <w:sz w:val="21"/>
                <w:szCs w:val="21"/>
                <w:highlight w:val="none"/>
              </w:rPr>
              <w:t>执行国家强制性条文、有切实可行的保证措施得2分，没有不得分</w:t>
            </w:r>
            <w:r>
              <w:rPr>
                <w:rFonts w:hint="eastAsia" w:ascii="仿宋" w:hAnsi="仿宋" w:eastAsia="仿宋" w:cs="仿宋"/>
                <w:color w:val="auto"/>
                <w:spacing w:val="-4"/>
                <w:sz w:val="21"/>
                <w:szCs w:val="21"/>
                <w:highlight w:val="none"/>
                <w:lang w:eastAsia="zh-CN"/>
              </w:rPr>
              <w:t>。</w:t>
            </w:r>
          </w:p>
        </w:tc>
        <w:tc>
          <w:tcPr>
            <w:tcW w:w="812" w:type="dxa"/>
            <w:vAlign w:val="top"/>
          </w:tcPr>
          <w:p w14:paraId="5A2ADF6F">
            <w:pPr>
              <w:rPr>
                <w:rFonts w:hint="eastAsia" w:ascii="仿宋" w:hAnsi="仿宋" w:eastAsia="仿宋" w:cs="仿宋"/>
                <w:color w:val="auto"/>
                <w:sz w:val="21"/>
                <w:szCs w:val="21"/>
                <w:highlight w:val="none"/>
              </w:rPr>
            </w:pPr>
          </w:p>
        </w:tc>
      </w:tr>
      <w:tr w14:paraId="1FB34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63" w:type="dxa"/>
            <w:vMerge w:val="restart"/>
            <w:tcBorders>
              <w:bottom w:val="nil"/>
            </w:tcBorders>
            <w:vAlign w:val="center"/>
          </w:tcPr>
          <w:p w14:paraId="1197C785">
            <w:pPr>
              <w:pStyle w:val="21"/>
              <w:spacing w:before="78" w:line="182"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241" w:type="dxa"/>
            <w:vMerge w:val="restart"/>
            <w:tcBorders>
              <w:bottom w:val="nil"/>
            </w:tcBorders>
            <w:vAlign w:val="center"/>
          </w:tcPr>
          <w:p w14:paraId="2115DD86">
            <w:pPr>
              <w:pStyle w:val="21"/>
              <w:spacing w:before="78" w:line="219"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承诺</w:t>
            </w:r>
          </w:p>
        </w:tc>
        <w:tc>
          <w:tcPr>
            <w:tcW w:w="735" w:type="dxa"/>
            <w:vMerge w:val="restart"/>
            <w:tcBorders>
              <w:bottom w:val="nil"/>
            </w:tcBorders>
            <w:vAlign w:val="center"/>
          </w:tcPr>
          <w:p w14:paraId="591451F5">
            <w:pPr>
              <w:pStyle w:val="21"/>
              <w:spacing w:before="78" w:line="22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6分</w:t>
            </w:r>
          </w:p>
        </w:tc>
        <w:tc>
          <w:tcPr>
            <w:tcW w:w="6961" w:type="dxa"/>
            <w:vAlign w:val="top"/>
          </w:tcPr>
          <w:p w14:paraId="76247770">
            <w:pPr>
              <w:pStyle w:val="21"/>
              <w:keepNext w:val="0"/>
              <w:keepLines w:val="0"/>
              <w:pageBreakBefore w:val="0"/>
              <w:widowControl/>
              <w:kinsoku w:val="0"/>
              <w:wordWrap/>
              <w:overflowPunct/>
              <w:topLinePunct w:val="0"/>
              <w:autoSpaceDE w:val="0"/>
              <w:autoSpaceDN w:val="0"/>
              <w:bidi w:val="0"/>
              <w:adjustRightInd w:val="0"/>
              <w:snapToGrid w:val="0"/>
              <w:spacing w:before="109" w:line="240" w:lineRule="exact"/>
              <w:ind w:left="116"/>
              <w:textAlignment w:val="baseline"/>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保修有承诺、有违约经济处罚且措施可行得2分，没有不得分</w:t>
            </w:r>
            <w:r>
              <w:rPr>
                <w:rFonts w:hint="eastAsia" w:ascii="仿宋" w:hAnsi="仿宋" w:eastAsia="仿宋" w:cs="仿宋"/>
                <w:color w:val="auto"/>
                <w:spacing w:val="-1"/>
                <w:sz w:val="21"/>
                <w:szCs w:val="21"/>
                <w:highlight w:val="none"/>
                <w:lang w:eastAsia="zh-CN"/>
              </w:rPr>
              <w:t>。</w:t>
            </w:r>
          </w:p>
        </w:tc>
        <w:tc>
          <w:tcPr>
            <w:tcW w:w="812" w:type="dxa"/>
            <w:vAlign w:val="top"/>
          </w:tcPr>
          <w:p w14:paraId="56A83E3F">
            <w:pPr>
              <w:rPr>
                <w:rFonts w:hint="eastAsia" w:ascii="仿宋" w:hAnsi="仿宋" w:eastAsia="仿宋" w:cs="仿宋"/>
                <w:color w:val="auto"/>
                <w:sz w:val="21"/>
                <w:szCs w:val="21"/>
                <w:highlight w:val="none"/>
              </w:rPr>
            </w:pPr>
          </w:p>
        </w:tc>
      </w:tr>
      <w:tr w14:paraId="1BE5A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63" w:type="dxa"/>
            <w:vMerge w:val="continue"/>
            <w:tcBorders>
              <w:top w:val="nil"/>
            </w:tcBorders>
            <w:vAlign w:val="center"/>
          </w:tcPr>
          <w:p w14:paraId="19AC26FA">
            <w:pPr>
              <w:jc w:val="center"/>
              <w:rPr>
                <w:rFonts w:hint="eastAsia" w:ascii="仿宋" w:hAnsi="仿宋" w:eastAsia="仿宋" w:cs="仿宋"/>
                <w:color w:val="auto"/>
                <w:sz w:val="21"/>
                <w:szCs w:val="21"/>
                <w:highlight w:val="none"/>
              </w:rPr>
            </w:pPr>
          </w:p>
        </w:tc>
        <w:tc>
          <w:tcPr>
            <w:tcW w:w="1241" w:type="dxa"/>
            <w:vMerge w:val="continue"/>
            <w:tcBorders>
              <w:top w:val="nil"/>
            </w:tcBorders>
            <w:vAlign w:val="center"/>
          </w:tcPr>
          <w:p w14:paraId="4A73E9A6">
            <w:pPr>
              <w:jc w:val="center"/>
              <w:rPr>
                <w:rFonts w:hint="eastAsia" w:ascii="仿宋" w:hAnsi="仿宋" w:eastAsia="仿宋" w:cs="仿宋"/>
                <w:color w:val="auto"/>
                <w:sz w:val="21"/>
                <w:szCs w:val="21"/>
                <w:highlight w:val="none"/>
              </w:rPr>
            </w:pPr>
          </w:p>
        </w:tc>
        <w:tc>
          <w:tcPr>
            <w:tcW w:w="735" w:type="dxa"/>
            <w:vMerge w:val="continue"/>
            <w:tcBorders>
              <w:top w:val="nil"/>
            </w:tcBorders>
            <w:vAlign w:val="center"/>
          </w:tcPr>
          <w:p w14:paraId="2FBBCDE6">
            <w:pPr>
              <w:jc w:val="center"/>
              <w:rPr>
                <w:rFonts w:hint="eastAsia" w:ascii="仿宋" w:hAnsi="仿宋" w:eastAsia="仿宋" w:cs="仿宋"/>
                <w:color w:val="auto"/>
                <w:sz w:val="21"/>
                <w:szCs w:val="21"/>
                <w:highlight w:val="none"/>
              </w:rPr>
            </w:pPr>
          </w:p>
        </w:tc>
        <w:tc>
          <w:tcPr>
            <w:tcW w:w="6961" w:type="dxa"/>
            <w:vAlign w:val="top"/>
          </w:tcPr>
          <w:p w14:paraId="7E35E035">
            <w:pPr>
              <w:pStyle w:val="21"/>
              <w:keepNext w:val="0"/>
              <w:keepLines w:val="0"/>
              <w:pageBreakBefore w:val="0"/>
              <w:widowControl/>
              <w:kinsoku w:val="0"/>
              <w:wordWrap/>
              <w:overflowPunct/>
              <w:topLinePunct w:val="0"/>
              <w:autoSpaceDE w:val="0"/>
              <w:autoSpaceDN w:val="0"/>
              <w:bidi w:val="0"/>
              <w:adjustRightInd w:val="0"/>
              <w:snapToGrid w:val="0"/>
              <w:spacing w:before="109" w:line="240" w:lineRule="exact"/>
              <w:ind w:left="113" w:right="102"/>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承诺达到优质质量标准、并有切实可行质量保证措施得4分，只有</w:t>
            </w:r>
            <w:r>
              <w:rPr>
                <w:rFonts w:hint="eastAsia" w:ascii="仿宋" w:hAnsi="仿宋" w:eastAsia="仿宋" w:cs="仿宋"/>
                <w:color w:val="auto"/>
                <w:spacing w:val="-1"/>
                <w:sz w:val="21"/>
                <w:szCs w:val="21"/>
                <w:highlight w:val="none"/>
              </w:rPr>
              <w:t>承诺没有措施的得1分，否则不得分；</w:t>
            </w:r>
          </w:p>
        </w:tc>
        <w:tc>
          <w:tcPr>
            <w:tcW w:w="812" w:type="dxa"/>
            <w:vAlign w:val="top"/>
          </w:tcPr>
          <w:p w14:paraId="5954A824">
            <w:pPr>
              <w:rPr>
                <w:rFonts w:hint="eastAsia" w:ascii="仿宋" w:hAnsi="仿宋" w:eastAsia="仿宋" w:cs="仿宋"/>
                <w:color w:val="auto"/>
                <w:sz w:val="21"/>
                <w:szCs w:val="21"/>
                <w:highlight w:val="none"/>
              </w:rPr>
            </w:pPr>
          </w:p>
        </w:tc>
      </w:tr>
      <w:tr w14:paraId="24BB1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463" w:type="dxa"/>
            <w:vAlign w:val="center"/>
          </w:tcPr>
          <w:p w14:paraId="07CFFA16">
            <w:pPr>
              <w:pStyle w:val="21"/>
              <w:spacing w:before="78" w:line="183"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241" w:type="dxa"/>
            <w:vAlign w:val="center"/>
          </w:tcPr>
          <w:p w14:paraId="66F971B3">
            <w:pPr>
              <w:pStyle w:val="21"/>
              <w:spacing w:before="78" w:line="22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业绩</w:t>
            </w:r>
          </w:p>
        </w:tc>
        <w:tc>
          <w:tcPr>
            <w:tcW w:w="735" w:type="dxa"/>
            <w:vAlign w:val="center"/>
          </w:tcPr>
          <w:p w14:paraId="31774483">
            <w:pPr>
              <w:pStyle w:val="21"/>
              <w:spacing w:before="78" w:line="22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9分</w:t>
            </w:r>
          </w:p>
        </w:tc>
        <w:tc>
          <w:tcPr>
            <w:tcW w:w="6961" w:type="dxa"/>
            <w:vAlign w:val="top"/>
          </w:tcPr>
          <w:p w14:paraId="23163075">
            <w:pPr>
              <w:pStyle w:val="21"/>
              <w:keepNext w:val="0"/>
              <w:keepLines w:val="0"/>
              <w:pageBreakBefore w:val="0"/>
              <w:widowControl/>
              <w:kinsoku w:val="0"/>
              <w:wordWrap/>
              <w:overflowPunct/>
              <w:topLinePunct w:val="0"/>
              <w:autoSpaceDE w:val="0"/>
              <w:autoSpaceDN w:val="0"/>
              <w:bidi w:val="0"/>
              <w:adjustRightInd w:val="0"/>
              <w:snapToGrid w:val="0"/>
              <w:spacing w:before="110" w:line="240" w:lineRule="exact"/>
              <w:ind w:left="118" w:right="101"/>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4"/>
                <w:sz w:val="21"/>
                <w:szCs w:val="21"/>
                <w:highlight w:val="none"/>
              </w:rPr>
              <w:t>投标单位每提供一项近三年（投标截止日前三年）业绩得3分，满</w:t>
            </w:r>
            <w:r>
              <w:rPr>
                <w:rFonts w:hint="eastAsia" w:ascii="仿宋" w:hAnsi="仿宋" w:eastAsia="仿宋" w:cs="仿宋"/>
                <w:color w:val="auto"/>
                <w:spacing w:val="-2"/>
                <w:sz w:val="21"/>
                <w:szCs w:val="21"/>
                <w:highlight w:val="none"/>
              </w:rPr>
              <w:t>分为9分</w:t>
            </w:r>
            <w:r>
              <w:rPr>
                <w:rFonts w:hint="eastAsia" w:ascii="仿宋" w:hAnsi="仿宋" w:eastAsia="仿宋" w:cs="仿宋"/>
                <w:color w:val="auto"/>
                <w:spacing w:val="-14"/>
                <w:sz w:val="21"/>
                <w:szCs w:val="21"/>
                <w:highlight w:val="none"/>
                <w:lang w:eastAsia="zh-CN"/>
              </w:rPr>
              <w:t>。</w:t>
            </w:r>
            <w:r>
              <w:rPr>
                <w:rFonts w:hint="eastAsia" w:ascii="仿宋" w:hAnsi="仿宋" w:eastAsia="仿宋" w:cs="仿宋"/>
                <w:color w:val="auto"/>
                <w:spacing w:val="-14"/>
                <w:sz w:val="21"/>
                <w:szCs w:val="21"/>
                <w:highlight w:val="none"/>
              </w:rPr>
              <w:t>（</w:t>
            </w:r>
            <w:r>
              <w:rPr>
                <w:rFonts w:hint="eastAsia" w:ascii="仿宋" w:hAnsi="仿宋" w:eastAsia="仿宋" w:cs="仿宋"/>
                <w:color w:val="auto"/>
                <w:spacing w:val="-2"/>
                <w:sz w:val="21"/>
                <w:szCs w:val="21"/>
                <w:highlight w:val="none"/>
              </w:rPr>
              <w:t>以合同或中标通知书为依据，扫描件字迹模糊不清视同为无效业绩</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w:t>
            </w:r>
          </w:p>
        </w:tc>
        <w:tc>
          <w:tcPr>
            <w:tcW w:w="812" w:type="dxa"/>
            <w:vAlign w:val="top"/>
          </w:tcPr>
          <w:p w14:paraId="5CCEFF00">
            <w:pPr>
              <w:rPr>
                <w:rFonts w:hint="eastAsia" w:ascii="仿宋" w:hAnsi="仿宋" w:eastAsia="仿宋" w:cs="仿宋"/>
                <w:color w:val="auto"/>
                <w:sz w:val="21"/>
                <w:szCs w:val="21"/>
                <w:highlight w:val="none"/>
              </w:rPr>
            </w:pPr>
          </w:p>
        </w:tc>
      </w:tr>
      <w:tr w14:paraId="392B3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9" w:hRule="atLeast"/>
          <w:jc w:val="center"/>
        </w:trPr>
        <w:tc>
          <w:tcPr>
            <w:tcW w:w="463" w:type="dxa"/>
            <w:vAlign w:val="center"/>
          </w:tcPr>
          <w:p w14:paraId="6FD87174">
            <w:pPr>
              <w:pStyle w:val="21"/>
              <w:spacing w:before="78" w:line="183"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1241" w:type="dxa"/>
            <w:vAlign w:val="center"/>
          </w:tcPr>
          <w:p w14:paraId="5DDEFA47">
            <w:pPr>
              <w:pStyle w:val="21"/>
              <w:spacing w:before="78" w:line="221"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人员</w:t>
            </w:r>
          </w:p>
        </w:tc>
        <w:tc>
          <w:tcPr>
            <w:tcW w:w="735" w:type="dxa"/>
            <w:vAlign w:val="center"/>
          </w:tcPr>
          <w:p w14:paraId="7D642239">
            <w:pPr>
              <w:pStyle w:val="21"/>
              <w:spacing w:before="78" w:line="22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9分</w:t>
            </w:r>
          </w:p>
        </w:tc>
        <w:tc>
          <w:tcPr>
            <w:tcW w:w="6961" w:type="dxa"/>
            <w:vAlign w:val="top"/>
          </w:tcPr>
          <w:p w14:paraId="1376A21F">
            <w:pPr>
              <w:pStyle w:val="21"/>
              <w:keepNext w:val="0"/>
              <w:keepLines w:val="0"/>
              <w:pageBreakBefore w:val="0"/>
              <w:widowControl/>
              <w:numPr>
                <w:ilvl w:val="0"/>
                <w:numId w:val="4"/>
              </w:numPr>
              <w:kinsoku w:val="0"/>
              <w:wordWrap/>
              <w:overflowPunct/>
              <w:topLinePunct w:val="0"/>
              <w:autoSpaceDE w:val="0"/>
              <w:autoSpaceDN w:val="0"/>
              <w:bidi w:val="0"/>
              <w:adjustRightInd w:val="0"/>
              <w:snapToGrid w:val="0"/>
              <w:spacing w:before="114" w:line="240" w:lineRule="exact"/>
              <w:ind w:left="115" w:right="130" w:firstLine="17"/>
              <w:textAlignment w:val="baseline"/>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除项目负责人外，五大员每提供一人得一分，满分5分（需提供相关证书、</w:t>
            </w:r>
            <w:r>
              <w:rPr>
                <w:rFonts w:hint="eastAsia" w:ascii="仿宋" w:hAnsi="仿宋" w:eastAsia="仿宋" w:cs="仿宋"/>
                <w:color w:val="auto"/>
                <w:spacing w:val="-1"/>
                <w:sz w:val="21"/>
                <w:szCs w:val="21"/>
                <w:highlight w:val="none"/>
                <w:lang w:val="en-US" w:eastAsia="zh-CN"/>
              </w:rPr>
              <w:t>本单位缴纳</w:t>
            </w:r>
            <w:r>
              <w:rPr>
                <w:rFonts w:hint="eastAsia" w:ascii="仿宋" w:hAnsi="仿宋" w:eastAsia="仿宋" w:cs="仿宋"/>
                <w:color w:val="auto"/>
                <w:spacing w:val="-1"/>
                <w:sz w:val="21"/>
                <w:szCs w:val="21"/>
                <w:highlight w:val="none"/>
              </w:rPr>
              <w:t>近三个月社保</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w:t>
            </w:r>
          </w:p>
          <w:p w14:paraId="1A93C267">
            <w:pPr>
              <w:pStyle w:val="21"/>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240" w:lineRule="exact"/>
              <w:ind w:left="132" w:leftChars="0" w:right="130" w:rightChars="0"/>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2</w:t>
            </w:r>
            <w:r>
              <w:rPr>
                <w:rFonts w:hint="eastAsia" w:ascii="仿宋" w:hAnsi="仿宋" w:eastAsia="仿宋" w:cs="仿宋"/>
                <w:color w:val="auto"/>
                <w:spacing w:val="-34"/>
                <w:sz w:val="21"/>
                <w:szCs w:val="21"/>
                <w:highlight w:val="none"/>
              </w:rPr>
              <w:t xml:space="preserve"> </w:t>
            </w:r>
            <w:r>
              <w:rPr>
                <w:rFonts w:hint="eastAsia" w:ascii="仿宋" w:hAnsi="仿宋" w:eastAsia="仿宋" w:cs="仿宋"/>
                <w:color w:val="auto"/>
                <w:spacing w:val="-1"/>
                <w:sz w:val="21"/>
                <w:szCs w:val="21"/>
                <w:highlight w:val="none"/>
              </w:rPr>
              <w:t>、项目配备人员有中级及以上职称每提供一人得一分，</w:t>
            </w:r>
            <w:r>
              <w:rPr>
                <w:rFonts w:hint="eastAsia" w:ascii="仿宋" w:hAnsi="仿宋" w:eastAsia="仿宋" w:cs="仿宋"/>
                <w:color w:val="auto"/>
                <w:spacing w:val="-2"/>
                <w:sz w:val="21"/>
                <w:szCs w:val="21"/>
                <w:highlight w:val="none"/>
              </w:rPr>
              <w:t>满分4分</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z w:val="21"/>
                <w:szCs w:val="21"/>
                <w:highlight w:val="none"/>
              </w:rPr>
              <w:t xml:space="preserve"> </w:t>
            </w:r>
            <w:r>
              <w:rPr>
                <w:rFonts w:hint="eastAsia" w:ascii="仿宋" w:hAnsi="仿宋" w:eastAsia="仿宋" w:cs="仿宋"/>
                <w:color w:val="auto"/>
                <w:spacing w:val="-2"/>
                <w:sz w:val="21"/>
                <w:szCs w:val="21"/>
                <w:highlight w:val="none"/>
              </w:rPr>
              <w:t>（需提供相关职称证书、</w:t>
            </w:r>
            <w:r>
              <w:rPr>
                <w:rFonts w:hint="eastAsia" w:ascii="仿宋" w:hAnsi="仿宋" w:eastAsia="仿宋" w:cs="仿宋"/>
                <w:color w:val="auto"/>
                <w:spacing w:val="-1"/>
                <w:sz w:val="21"/>
                <w:szCs w:val="21"/>
                <w:highlight w:val="none"/>
                <w:lang w:val="en-US" w:eastAsia="zh-CN"/>
              </w:rPr>
              <w:t>本单位缴纳</w:t>
            </w:r>
            <w:r>
              <w:rPr>
                <w:rFonts w:hint="eastAsia" w:ascii="仿宋" w:hAnsi="仿宋" w:eastAsia="仿宋" w:cs="仿宋"/>
                <w:color w:val="auto"/>
                <w:spacing w:val="-2"/>
                <w:sz w:val="21"/>
                <w:szCs w:val="21"/>
                <w:highlight w:val="none"/>
              </w:rPr>
              <w:t>近三个月社保</w:t>
            </w:r>
            <w:r>
              <w:rPr>
                <w:rFonts w:hint="eastAsia" w:ascii="仿宋" w:hAnsi="仿宋" w:eastAsia="仿宋" w:cs="仿宋"/>
                <w:color w:val="auto"/>
                <w:spacing w:val="-2"/>
                <w:sz w:val="21"/>
                <w:szCs w:val="21"/>
                <w:highlight w:val="none"/>
                <w:lang w:eastAsia="zh-CN"/>
              </w:rPr>
              <w:t>。</w:t>
            </w:r>
            <w:r>
              <w:rPr>
                <w:rFonts w:hint="eastAsia" w:ascii="仿宋" w:hAnsi="仿宋" w:eastAsia="仿宋" w:cs="仿宋"/>
                <w:color w:val="auto"/>
                <w:spacing w:val="-2"/>
                <w:sz w:val="21"/>
                <w:szCs w:val="21"/>
                <w:highlight w:val="none"/>
              </w:rPr>
              <w:t>）</w:t>
            </w:r>
          </w:p>
        </w:tc>
        <w:tc>
          <w:tcPr>
            <w:tcW w:w="812" w:type="dxa"/>
            <w:vAlign w:val="top"/>
          </w:tcPr>
          <w:p w14:paraId="47171475">
            <w:pPr>
              <w:rPr>
                <w:rFonts w:hint="eastAsia" w:ascii="仿宋" w:hAnsi="仿宋" w:eastAsia="仿宋" w:cs="仿宋"/>
                <w:color w:val="auto"/>
                <w:sz w:val="21"/>
                <w:szCs w:val="21"/>
                <w:highlight w:val="none"/>
              </w:rPr>
            </w:pPr>
          </w:p>
        </w:tc>
      </w:tr>
    </w:tbl>
    <w:p w14:paraId="64591EE3">
      <w:pPr>
        <w:rPr>
          <w:rFonts w:hint="eastAsia" w:ascii="仿宋" w:hAnsi="仿宋" w:eastAsia="仿宋" w:cs="仿宋"/>
          <w:b/>
          <w:bCs/>
          <w:color w:val="auto"/>
          <w:sz w:val="21"/>
          <w:szCs w:val="21"/>
          <w:highlight w:val="none"/>
          <w:lang w:val="en-US" w:eastAsia="zh-CN"/>
        </w:rPr>
      </w:pPr>
    </w:p>
    <w:p w14:paraId="5C1FF5F8">
      <w:pPr>
        <w:pStyle w:val="11"/>
        <w:rPr>
          <w:rFonts w:hint="eastAsia" w:ascii="仿宋" w:hAnsi="仿宋" w:eastAsia="仿宋" w:cs="仿宋"/>
          <w:b/>
          <w:bCs/>
          <w:color w:val="auto"/>
          <w:sz w:val="21"/>
          <w:szCs w:val="21"/>
          <w:highlight w:val="none"/>
          <w:lang w:val="en-US" w:eastAsia="zh-CN"/>
        </w:rPr>
      </w:pPr>
    </w:p>
    <w:p w14:paraId="3595A94E">
      <w:pPr>
        <w:rPr>
          <w:rFonts w:hint="eastAsia" w:ascii="仿宋" w:hAnsi="仿宋" w:eastAsia="仿宋" w:cs="仿宋"/>
          <w:b/>
          <w:bCs/>
          <w:color w:val="auto"/>
          <w:sz w:val="21"/>
          <w:szCs w:val="21"/>
          <w:highlight w:val="none"/>
          <w:lang w:val="en-US" w:eastAsia="zh-CN"/>
        </w:rPr>
      </w:pPr>
    </w:p>
    <w:p w14:paraId="1B52B836">
      <w:pPr>
        <w:pStyle w:val="4"/>
        <w:rPr>
          <w:rFonts w:hint="eastAsia"/>
          <w:color w:val="auto"/>
          <w:highlight w:val="none"/>
          <w:lang w:val="en-US" w:eastAsia="zh-CN"/>
        </w:rPr>
      </w:pPr>
    </w:p>
    <w:p w14:paraId="3B83E416">
      <w:pPr>
        <w:rPr>
          <w:rFonts w:hint="eastAsia" w:ascii="仿宋" w:hAnsi="仿宋" w:eastAsia="仿宋" w:cs="仿宋"/>
          <w:b/>
          <w:bCs/>
          <w:color w:val="auto"/>
          <w:sz w:val="21"/>
          <w:szCs w:val="21"/>
          <w:highlight w:val="none"/>
          <w:lang w:val="en-US" w:eastAsia="zh-CN"/>
        </w:rPr>
      </w:pPr>
    </w:p>
    <w:p w14:paraId="2D10F7E5">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标项8：</w:t>
      </w:r>
    </w:p>
    <w:p w14:paraId="3CA94904">
      <w:pPr>
        <w:pStyle w:val="4"/>
        <w:rPr>
          <w:rFonts w:hint="eastAsia" w:ascii="仿宋" w:hAnsi="仿宋" w:eastAsia="仿宋" w:cs="仿宋"/>
          <w:color w:val="auto"/>
          <w:sz w:val="21"/>
          <w:szCs w:val="21"/>
          <w:highlight w:val="none"/>
          <w:lang w:val="en-US" w:eastAsia="zh-CN"/>
        </w:rPr>
      </w:pPr>
    </w:p>
    <w:tbl>
      <w:tblPr>
        <w:tblStyle w:val="20"/>
        <w:tblW w:w="99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3"/>
        <w:gridCol w:w="1241"/>
        <w:gridCol w:w="710"/>
        <w:gridCol w:w="6966"/>
        <w:gridCol w:w="594"/>
      </w:tblGrid>
      <w:tr w14:paraId="63B9F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463" w:type="dxa"/>
            <w:vAlign w:val="center"/>
          </w:tcPr>
          <w:p w14:paraId="280F79D1">
            <w:pPr>
              <w:pStyle w:val="21"/>
              <w:spacing w:before="109" w:line="21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序号</w:t>
            </w:r>
          </w:p>
        </w:tc>
        <w:tc>
          <w:tcPr>
            <w:tcW w:w="1241" w:type="dxa"/>
            <w:vAlign w:val="center"/>
          </w:tcPr>
          <w:p w14:paraId="1FF00881">
            <w:pPr>
              <w:pStyle w:val="21"/>
              <w:spacing w:before="109" w:line="21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评分因素</w:t>
            </w:r>
          </w:p>
        </w:tc>
        <w:tc>
          <w:tcPr>
            <w:tcW w:w="710" w:type="dxa"/>
            <w:vAlign w:val="center"/>
          </w:tcPr>
          <w:p w14:paraId="35C8926D">
            <w:pPr>
              <w:pStyle w:val="21"/>
              <w:spacing w:before="109" w:line="21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分值</w:t>
            </w:r>
          </w:p>
        </w:tc>
        <w:tc>
          <w:tcPr>
            <w:tcW w:w="6966" w:type="dxa"/>
            <w:vAlign w:val="center"/>
          </w:tcPr>
          <w:p w14:paraId="05D8D3F4">
            <w:pPr>
              <w:pStyle w:val="21"/>
              <w:spacing w:before="109" w:line="21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评分标准</w:t>
            </w:r>
          </w:p>
        </w:tc>
        <w:tc>
          <w:tcPr>
            <w:tcW w:w="594" w:type="dxa"/>
            <w:vAlign w:val="center"/>
          </w:tcPr>
          <w:p w14:paraId="336367FC">
            <w:pPr>
              <w:pStyle w:val="21"/>
              <w:spacing w:before="109" w:line="210"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备注</w:t>
            </w:r>
          </w:p>
        </w:tc>
      </w:tr>
      <w:tr w14:paraId="500AE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463" w:type="dxa"/>
            <w:vAlign w:val="center"/>
          </w:tcPr>
          <w:p w14:paraId="44A4A60F">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41" w:type="dxa"/>
            <w:vAlign w:val="center"/>
          </w:tcPr>
          <w:p w14:paraId="3A60B9D4">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报价部分</w:t>
            </w:r>
          </w:p>
        </w:tc>
        <w:tc>
          <w:tcPr>
            <w:tcW w:w="710" w:type="dxa"/>
            <w:vAlign w:val="center"/>
          </w:tcPr>
          <w:p w14:paraId="6E053541">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30分</w:t>
            </w:r>
          </w:p>
        </w:tc>
        <w:tc>
          <w:tcPr>
            <w:tcW w:w="6966" w:type="dxa"/>
            <w:vAlign w:val="center"/>
          </w:tcPr>
          <w:p w14:paraId="62E2D1F8">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采用低价优先法计算，即满足招标文件要求且投标下浮率最高的投标报价为评标基准下浮率，其价格分为满分。</w:t>
            </w:r>
          </w:p>
          <w:p w14:paraId="6763BEE0">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其他投标人的价格分统一按照下列公式计算：投标报价（下浮率）得分=（投标下浮率/基准下浮率） ×价格权值（30%） × 100</w:t>
            </w:r>
          </w:p>
        </w:tc>
        <w:tc>
          <w:tcPr>
            <w:tcW w:w="594" w:type="dxa"/>
            <w:vAlign w:val="top"/>
          </w:tcPr>
          <w:p w14:paraId="023AD5DB">
            <w:pPr>
              <w:rPr>
                <w:rFonts w:hint="eastAsia" w:ascii="仿宋" w:hAnsi="仿宋" w:eastAsia="仿宋" w:cs="仿宋"/>
                <w:color w:val="auto"/>
                <w:sz w:val="21"/>
                <w:szCs w:val="21"/>
                <w:highlight w:val="none"/>
              </w:rPr>
            </w:pPr>
          </w:p>
        </w:tc>
      </w:tr>
      <w:tr w14:paraId="78E2E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463" w:type="dxa"/>
            <w:vAlign w:val="center"/>
          </w:tcPr>
          <w:p w14:paraId="797BC12A">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41" w:type="dxa"/>
            <w:vAlign w:val="center"/>
          </w:tcPr>
          <w:p w14:paraId="24888601">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投标人近</w:t>
            </w:r>
          </w:p>
          <w:p w14:paraId="524D2958">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三年业绩</w:t>
            </w:r>
          </w:p>
        </w:tc>
        <w:tc>
          <w:tcPr>
            <w:tcW w:w="710" w:type="dxa"/>
            <w:vAlign w:val="top"/>
          </w:tcPr>
          <w:p w14:paraId="6EC96C7D">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p>
          <w:p w14:paraId="380804EE">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5分</w:t>
            </w:r>
          </w:p>
        </w:tc>
        <w:tc>
          <w:tcPr>
            <w:tcW w:w="6966" w:type="dxa"/>
            <w:vAlign w:val="top"/>
          </w:tcPr>
          <w:p w14:paraId="3A742729">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投标单位每提供一项近三年（投标截止日前三年）业绩得1分，满分为5分。</w:t>
            </w:r>
          </w:p>
          <w:p w14:paraId="62558A3B">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left"/>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（以合同或审计委托书为依据，扫描件字迹模糊不清视同为无效业绩，业绩要求为跟踪审计业绩。）</w:t>
            </w:r>
          </w:p>
        </w:tc>
        <w:tc>
          <w:tcPr>
            <w:tcW w:w="594" w:type="dxa"/>
            <w:vAlign w:val="top"/>
          </w:tcPr>
          <w:p w14:paraId="2A1C232A">
            <w:pPr>
              <w:rPr>
                <w:rFonts w:hint="eastAsia" w:ascii="仿宋" w:hAnsi="仿宋" w:eastAsia="仿宋" w:cs="仿宋"/>
                <w:color w:val="auto"/>
                <w:sz w:val="21"/>
                <w:szCs w:val="21"/>
                <w:highlight w:val="none"/>
              </w:rPr>
            </w:pPr>
          </w:p>
        </w:tc>
      </w:tr>
      <w:tr w14:paraId="0DDBC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4" w:hRule="atLeast"/>
        </w:trPr>
        <w:tc>
          <w:tcPr>
            <w:tcW w:w="463" w:type="dxa"/>
            <w:vAlign w:val="center"/>
          </w:tcPr>
          <w:p w14:paraId="1275FDB1">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41" w:type="dxa"/>
            <w:vAlign w:val="center"/>
          </w:tcPr>
          <w:p w14:paraId="21824393">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管理方案</w:t>
            </w:r>
          </w:p>
        </w:tc>
        <w:tc>
          <w:tcPr>
            <w:tcW w:w="710" w:type="dxa"/>
            <w:vAlign w:val="center"/>
          </w:tcPr>
          <w:p w14:paraId="24D5DD13">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10分</w:t>
            </w:r>
          </w:p>
        </w:tc>
        <w:tc>
          <w:tcPr>
            <w:tcW w:w="6966" w:type="dxa"/>
            <w:vAlign w:val="top"/>
          </w:tcPr>
          <w:p w14:paraId="3F0B5880">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pacing w:val="-1"/>
                <w:sz w:val="21"/>
                <w:szCs w:val="21"/>
                <w:highlight w:val="none"/>
              </w:rPr>
              <w:t>制度内容完整、科学合理、有针对本项目的具体描述，规范及制度非常细致、全面、完善能够保证本项目采购后的所有技术服务要求得10分；</w:t>
            </w:r>
          </w:p>
          <w:p w14:paraId="35A06ACE">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2、制度内容完整，但是缺乏针对本项目采购需求的具体描述，可以满足采购需求的，得6分；</w:t>
            </w:r>
          </w:p>
          <w:p w14:paraId="333A57B9">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3、制度内容不完整，缺乏针对性的，得3分；</w:t>
            </w:r>
          </w:p>
          <w:p w14:paraId="1ADB5E44">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4、制度内容不合理，无针对性，得2分；未提供不得分</w:t>
            </w:r>
            <w:r>
              <w:rPr>
                <w:rFonts w:hint="eastAsia" w:ascii="仿宋" w:hAnsi="仿宋" w:eastAsia="仿宋" w:cs="仿宋"/>
                <w:color w:val="auto"/>
                <w:spacing w:val="-1"/>
                <w:sz w:val="21"/>
                <w:szCs w:val="21"/>
                <w:highlight w:val="none"/>
                <w:lang w:eastAsia="zh-CN"/>
              </w:rPr>
              <w:t>。</w:t>
            </w:r>
          </w:p>
        </w:tc>
        <w:tc>
          <w:tcPr>
            <w:tcW w:w="594" w:type="dxa"/>
            <w:vAlign w:val="top"/>
          </w:tcPr>
          <w:p w14:paraId="3C42619C">
            <w:pPr>
              <w:rPr>
                <w:rFonts w:hint="eastAsia" w:ascii="仿宋" w:hAnsi="仿宋" w:eastAsia="仿宋" w:cs="仿宋"/>
                <w:color w:val="auto"/>
                <w:sz w:val="21"/>
                <w:szCs w:val="21"/>
                <w:highlight w:val="none"/>
              </w:rPr>
            </w:pPr>
          </w:p>
        </w:tc>
      </w:tr>
      <w:tr w14:paraId="2A0D7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0" w:hRule="atLeast"/>
        </w:trPr>
        <w:tc>
          <w:tcPr>
            <w:tcW w:w="463" w:type="dxa"/>
            <w:vAlign w:val="center"/>
          </w:tcPr>
          <w:p w14:paraId="36C7088F">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241" w:type="dxa"/>
            <w:vAlign w:val="center"/>
          </w:tcPr>
          <w:p w14:paraId="247A036F">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质量保证</w:t>
            </w:r>
          </w:p>
          <w:p w14:paraId="16589605">
            <w:pPr>
              <w:pStyle w:val="21"/>
              <w:keepNext w:val="0"/>
              <w:keepLines w:val="0"/>
              <w:pageBreakBefore w:val="0"/>
              <w:widowControl/>
              <w:kinsoku w:val="0"/>
              <w:wordWrap/>
              <w:overflowPunct/>
              <w:topLinePunct w:val="0"/>
              <w:autoSpaceDE w:val="0"/>
              <w:autoSpaceDN w:val="0"/>
              <w:bidi w:val="0"/>
              <w:adjustRightInd w:val="0"/>
              <w:snapToGrid w:val="0"/>
              <w:spacing w:before="179" w:line="240" w:lineRule="exact"/>
              <w:ind w:left="113"/>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措施</w:t>
            </w:r>
          </w:p>
        </w:tc>
        <w:tc>
          <w:tcPr>
            <w:tcW w:w="710" w:type="dxa"/>
            <w:vAlign w:val="center"/>
          </w:tcPr>
          <w:p w14:paraId="46DAA520">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rPr>
              <w:t>10分</w:t>
            </w:r>
          </w:p>
        </w:tc>
        <w:tc>
          <w:tcPr>
            <w:tcW w:w="6966" w:type="dxa"/>
            <w:vAlign w:val="top"/>
          </w:tcPr>
          <w:p w14:paraId="52BE15F7">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质量控制方</w:t>
            </w:r>
            <w:r>
              <w:rPr>
                <w:rFonts w:hint="eastAsia" w:ascii="仿宋" w:hAnsi="仿宋" w:eastAsia="仿宋" w:cs="仿宋"/>
                <w:color w:val="auto"/>
                <w:spacing w:val="-1"/>
                <w:sz w:val="21"/>
                <w:szCs w:val="21"/>
                <w:highlight w:val="none"/>
              </w:rPr>
              <w:t>案内容全面详细、具体、合理、针对性强得10分；</w:t>
            </w:r>
          </w:p>
          <w:p w14:paraId="7E2C9FA2">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2、质量控制方案内容较全面、较具体、较合理、针对性较强得5分；</w:t>
            </w:r>
          </w:p>
          <w:p w14:paraId="1418420B">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3、质量控制方案内容不够全面、不够详细、不够具体、不够合理,针对性有所欠缺得2分；未提供的不得分。</w:t>
            </w:r>
          </w:p>
        </w:tc>
        <w:tc>
          <w:tcPr>
            <w:tcW w:w="594" w:type="dxa"/>
            <w:vAlign w:val="top"/>
          </w:tcPr>
          <w:p w14:paraId="6F100E9E">
            <w:pPr>
              <w:rPr>
                <w:rFonts w:hint="eastAsia" w:ascii="仿宋" w:hAnsi="仿宋" w:eastAsia="仿宋" w:cs="仿宋"/>
                <w:color w:val="auto"/>
                <w:sz w:val="21"/>
                <w:szCs w:val="21"/>
                <w:highlight w:val="none"/>
              </w:rPr>
            </w:pPr>
          </w:p>
        </w:tc>
      </w:tr>
      <w:tr w14:paraId="3ADA1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6" w:hRule="atLeast"/>
        </w:trPr>
        <w:tc>
          <w:tcPr>
            <w:tcW w:w="463" w:type="dxa"/>
            <w:vAlign w:val="center"/>
          </w:tcPr>
          <w:p w14:paraId="3F3FF397">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241" w:type="dxa"/>
            <w:vAlign w:val="center"/>
          </w:tcPr>
          <w:p w14:paraId="51F9E406">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6"/>
                <w:sz w:val="21"/>
                <w:szCs w:val="21"/>
                <w:highlight w:val="none"/>
              </w:rPr>
              <w:t>审计实施方案</w:t>
            </w:r>
          </w:p>
        </w:tc>
        <w:tc>
          <w:tcPr>
            <w:tcW w:w="710" w:type="dxa"/>
            <w:vAlign w:val="center"/>
          </w:tcPr>
          <w:p w14:paraId="25C92CF5">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30分</w:t>
            </w:r>
          </w:p>
        </w:tc>
        <w:tc>
          <w:tcPr>
            <w:tcW w:w="6966" w:type="dxa"/>
            <w:vAlign w:val="top"/>
          </w:tcPr>
          <w:p w14:paraId="128374AF">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全过程跟踪审计的组织方案应（包括但不限于）下列内容：</w:t>
            </w:r>
          </w:p>
          <w:p w14:paraId="0E9C62EE">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全过程跟踪审计的整体设想</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方案策划、管理方式、工作制度、工作目标、投入人员配备和管理措施、造价编制及风险控制措施</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服务质量保证技术组织措施和保证体系及承诺、进度保证技术组织措施和保证体系及工期承诺。方案满足以上各要求编制完整 得30分，每缺少一项扣两分，扣完为止。</w:t>
            </w:r>
          </w:p>
        </w:tc>
        <w:tc>
          <w:tcPr>
            <w:tcW w:w="594" w:type="dxa"/>
            <w:vAlign w:val="top"/>
          </w:tcPr>
          <w:p w14:paraId="56D289EA">
            <w:pPr>
              <w:pStyle w:val="21"/>
              <w:spacing w:before="180" w:line="355" w:lineRule="auto"/>
              <w:ind w:left="113" w:right="136"/>
              <w:rPr>
                <w:rFonts w:hint="eastAsia" w:ascii="仿宋" w:hAnsi="仿宋" w:eastAsia="仿宋" w:cs="仿宋"/>
                <w:color w:val="auto"/>
                <w:spacing w:val="-3"/>
                <w:sz w:val="21"/>
                <w:szCs w:val="21"/>
                <w:highlight w:val="none"/>
              </w:rPr>
            </w:pPr>
          </w:p>
        </w:tc>
      </w:tr>
      <w:tr w14:paraId="0CFC8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463" w:type="dxa"/>
            <w:vAlign w:val="center"/>
          </w:tcPr>
          <w:p w14:paraId="254A7341">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241" w:type="dxa"/>
            <w:vAlign w:val="center"/>
          </w:tcPr>
          <w:p w14:paraId="75AA771E">
            <w:pPr>
              <w:pStyle w:val="21"/>
              <w:keepNext w:val="0"/>
              <w:keepLines w:val="0"/>
              <w:pageBreakBefore w:val="0"/>
              <w:widowControl/>
              <w:kinsoku w:val="0"/>
              <w:wordWrap/>
              <w:overflowPunct/>
              <w:topLinePunct w:val="0"/>
              <w:autoSpaceDE w:val="0"/>
              <w:autoSpaceDN w:val="0"/>
              <w:bidi w:val="0"/>
              <w:adjustRightInd w:val="0"/>
              <w:snapToGrid w:val="0"/>
              <w:spacing w:before="38" w:line="240" w:lineRule="exact"/>
              <w:ind w:left="113"/>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3"/>
                <w:sz w:val="21"/>
                <w:szCs w:val="21"/>
                <w:highlight w:val="none"/>
              </w:rPr>
              <w:t>全过程跟踪审计的保密措施</w:t>
            </w:r>
          </w:p>
        </w:tc>
        <w:tc>
          <w:tcPr>
            <w:tcW w:w="710" w:type="dxa"/>
            <w:vAlign w:val="center"/>
          </w:tcPr>
          <w:p w14:paraId="00D43C35">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8"/>
                <w:sz w:val="21"/>
                <w:szCs w:val="21"/>
                <w:highlight w:val="none"/>
                <w:lang w:val="en-US" w:eastAsia="zh-CN"/>
              </w:rPr>
              <w:t>6</w:t>
            </w:r>
            <w:r>
              <w:rPr>
                <w:rFonts w:hint="eastAsia" w:ascii="仿宋" w:hAnsi="仿宋" w:eastAsia="仿宋" w:cs="仿宋"/>
                <w:color w:val="auto"/>
                <w:spacing w:val="-8"/>
                <w:sz w:val="21"/>
                <w:szCs w:val="21"/>
                <w:highlight w:val="none"/>
              </w:rPr>
              <w:t>分</w:t>
            </w:r>
          </w:p>
        </w:tc>
        <w:tc>
          <w:tcPr>
            <w:tcW w:w="6966" w:type="dxa"/>
            <w:vAlign w:val="top"/>
          </w:tcPr>
          <w:p w14:paraId="75567510">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1、保密方案内容全面详细、具体、合理、针对性强得</w:t>
            </w:r>
            <w:r>
              <w:rPr>
                <w:rFonts w:hint="eastAsia" w:ascii="仿宋" w:hAnsi="仿宋" w:eastAsia="仿宋" w:cs="仿宋"/>
                <w:color w:val="auto"/>
                <w:spacing w:val="-1"/>
                <w:sz w:val="21"/>
                <w:szCs w:val="21"/>
                <w:highlight w:val="none"/>
                <w:lang w:val="en-US" w:eastAsia="zh-CN"/>
              </w:rPr>
              <w:t>6</w:t>
            </w:r>
            <w:r>
              <w:rPr>
                <w:rFonts w:hint="eastAsia" w:ascii="仿宋" w:hAnsi="仿宋" w:eastAsia="仿宋" w:cs="仿宋"/>
                <w:color w:val="auto"/>
                <w:spacing w:val="-1"/>
                <w:sz w:val="21"/>
                <w:szCs w:val="21"/>
                <w:highlight w:val="none"/>
              </w:rPr>
              <w:t>分；</w:t>
            </w:r>
          </w:p>
          <w:p w14:paraId="43B4F53F">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rPr>
              <w:t>2、保密方案内容较全面、较具体、较合理、针对性较强得3分</w:t>
            </w:r>
            <w:r>
              <w:rPr>
                <w:rFonts w:hint="eastAsia" w:ascii="仿宋" w:hAnsi="仿宋" w:eastAsia="仿宋" w:cs="仿宋"/>
                <w:color w:val="auto"/>
                <w:spacing w:val="-1"/>
                <w:sz w:val="21"/>
                <w:szCs w:val="21"/>
                <w:highlight w:val="none"/>
                <w:lang w:eastAsia="zh-CN"/>
              </w:rPr>
              <w:t>；</w:t>
            </w:r>
          </w:p>
          <w:p w14:paraId="2833DFB8">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rPr>
              <w:t>3、</w:t>
            </w:r>
            <w:r>
              <w:rPr>
                <w:rFonts w:hint="eastAsia" w:ascii="仿宋" w:hAnsi="仿宋" w:eastAsia="仿宋" w:cs="仿宋"/>
                <w:color w:val="auto"/>
                <w:spacing w:val="-1"/>
                <w:sz w:val="21"/>
                <w:szCs w:val="21"/>
                <w:highlight w:val="none"/>
                <w:lang w:val="en-US" w:eastAsia="zh-CN"/>
              </w:rPr>
              <w:t>未提供</w:t>
            </w:r>
            <w:r>
              <w:rPr>
                <w:rFonts w:hint="eastAsia" w:ascii="仿宋" w:hAnsi="仿宋" w:eastAsia="仿宋" w:cs="仿宋"/>
                <w:color w:val="auto"/>
                <w:spacing w:val="-1"/>
                <w:sz w:val="21"/>
                <w:szCs w:val="21"/>
                <w:highlight w:val="none"/>
              </w:rPr>
              <w:t>不得分</w:t>
            </w:r>
            <w:r>
              <w:rPr>
                <w:rFonts w:hint="eastAsia" w:ascii="仿宋" w:hAnsi="仿宋" w:eastAsia="仿宋" w:cs="仿宋"/>
                <w:color w:val="auto"/>
                <w:spacing w:val="-1"/>
                <w:sz w:val="21"/>
                <w:szCs w:val="21"/>
                <w:highlight w:val="none"/>
                <w:lang w:eastAsia="zh-CN"/>
              </w:rPr>
              <w:t>。</w:t>
            </w:r>
          </w:p>
        </w:tc>
        <w:tc>
          <w:tcPr>
            <w:tcW w:w="594" w:type="dxa"/>
            <w:vAlign w:val="top"/>
          </w:tcPr>
          <w:p w14:paraId="10D34F2A">
            <w:pPr>
              <w:pStyle w:val="21"/>
              <w:spacing w:before="183" w:line="219" w:lineRule="auto"/>
              <w:ind w:left="118"/>
              <w:outlineLvl w:val="1"/>
              <w:rPr>
                <w:rFonts w:hint="eastAsia" w:ascii="仿宋" w:hAnsi="仿宋" w:eastAsia="仿宋" w:cs="仿宋"/>
                <w:color w:val="auto"/>
                <w:spacing w:val="-3"/>
                <w:sz w:val="21"/>
                <w:szCs w:val="21"/>
                <w:highlight w:val="none"/>
              </w:rPr>
            </w:pPr>
          </w:p>
        </w:tc>
      </w:tr>
      <w:tr w14:paraId="68131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463" w:type="dxa"/>
            <w:vAlign w:val="center"/>
          </w:tcPr>
          <w:p w14:paraId="24172C15">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241" w:type="dxa"/>
            <w:vAlign w:val="center"/>
          </w:tcPr>
          <w:p w14:paraId="17E063A3">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lang w:val="en-US" w:eastAsia="zh-CN"/>
              </w:rPr>
            </w:pPr>
            <w:r>
              <w:rPr>
                <w:rFonts w:hint="eastAsia" w:ascii="仿宋" w:hAnsi="仿宋" w:eastAsia="仿宋" w:cs="仿宋"/>
                <w:color w:val="auto"/>
                <w:spacing w:val="-6"/>
                <w:sz w:val="21"/>
                <w:szCs w:val="21"/>
                <w:highlight w:val="none"/>
              </w:rPr>
              <w:t>人员</w:t>
            </w:r>
          </w:p>
        </w:tc>
        <w:tc>
          <w:tcPr>
            <w:tcW w:w="710" w:type="dxa"/>
            <w:vAlign w:val="center"/>
          </w:tcPr>
          <w:p w14:paraId="2D665DB8">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0"/>
                <w:sz w:val="21"/>
                <w:szCs w:val="21"/>
                <w:highlight w:val="none"/>
                <w:lang w:val="en-US" w:eastAsia="zh-CN"/>
              </w:rPr>
              <w:t>9</w:t>
            </w:r>
            <w:r>
              <w:rPr>
                <w:rFonts w:hint="eastAsia" w:ascii="仿宋" w:hAnsi="仿宋" w:eastAsia="仿宋" w:cs="仿宋"/>
                <w:color w:val="auto"/>
                <w:spacing w:val="-10"/>
                <w:sz w:val="21"/>
                <w:szCs w:val="21"/>
                <w:highlight w:val="none"/>
              </w:rPr>
              <w:t>分</w:t>
            </w:r>
          </w:p>
        </w:tc>
        <w:tc>
          <w:tcPr>
            <w:tcW w:w="6966" w:type="dxa"/>
            <w:vAlign w:val="top"/>
          </w:tcPr>
          <w:p w14:paraId="370C9409">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val="en-US" w:eastAsia="zh-CN"/>
              </w:rPr>
            </w:pPr>
            <w:r>
              <w:rPr>
                <w:rFonts w:hint="eastAsia" w:ascii="仿宋" w:hAnsi="仿宋" w:eastAsia="仿宋" w:cs="仿宋"/>
                <w:color w:val="auto"/>
                <w:spacing w:val="-1"/>
                <w:sz w:val="21"/>
                <w:szCs w:val="21"/>
                <w:highlight w:val="none"/>
              </w:rPr>
              <w:t>1、</w:t>
            </w:r>
            <w:r>
              <w:rPr>
                <w:rFonts w:hint="eastAsia" w:ascii="仿宋" w:hAnsi="仿宋" w:eastAsia="仿宋" w:cs="仿宋"/>
                <w:color w:val="auto"/>
                <w:spacing w:val="-1"/>
                <w:sz w:val="21"/>
                <w:szCs w:val="21"/>
                <w:highlight w:val="none"/>
                <w:lang w:val="en-US" w:eastAsia="zh-CN"/>
              </w:rPr>
              <w:t>项目负责人为土木建筑工程专业一级注册造价师，在本公司有5年以上工作经验（含5年）得5分。（需提供社保证明，如是退休人员需提供退休证及返聘合同。）</w:t>
            </w:r>
          </w:p>
          <w:p w14:paraId="7638EA91">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2、</w:t>
            </w:r>
            <w:r>
              <w:rPr>
                <w:rFonts w:hint="eastAsia" w:ascii="仿宋" w:hAnsi="仿宋" w:eastAsia="仿宋" w:cs="仿宋"/>
                <w:color w:val="auto"/>
                <w:spacing w:val="-1"/>
                <w:sz w:val="21"/>
                <w:szCs w:val="21"/>
                <w:highlight w:val="none"/>
                <w:lang w:val="en-US" w:eastAsia="zh-CN"/>
              </w:rPr>
              <w:t>除项目负责人外，</w:t>
            </w:r>
            <w:r>
              <w:rPr>
                <w:rFonts w:hint="eastAsia" w:ascii="仿宋" w:hAnsi="仿宋" w:eastAsia="仿宋" w:cs="仿宋"/>
                <w:color w:val="auto"/>
                <w:spacing w:val="-1"/>
                <w:sz w:val="21"/>
                <w:szCs w:val="21"/>
                <w:highlight w:val="none"/>
              </w:rPr>
              <w:t>每提供一个</w:t>
            </w:r>
            <w:r>
              <w:rPr>
                <w:rFonts w:hint="eastAsia" w:ascii="仿宋" w:hAnsi="仿宋" w:eastAsia="仿宋" w:cs="仿宋"/>
                <w:color w:val="auto"/>
                <w:spacing w:val="-1"/>
                <w:sz w:val="21"/>
                <w:szCs w:val="21"/>
                <w:highlight w:val="none"/>
                <w:lang w:val="en-US" w:eastAsia="zh-CN"/>
              </w:rPr>
              <w:t>一级注册</w:t>
            </w:r>
            <w:r>
              <w:rPr>
                <w:rFonts w:hint="eastAsia" w:ascii="仿宋" w:hAnsi="仿宋" w:eastAsia="仿宋" w:cs="仿宋"/>
                <w:color w:val="auto"/>
                <w:spacing w:val="-1"/>
                <w:sz w:val="21"/>
                <w:szCs w:val="21"/>
                <w:highlight w:val="none"/>
              </w:rPr>
              <w:t>造价师得2分，最多得4分。</w:t>
            </w:r>
          </w:p>
        </w:tc>
        <w:tc>
          <w:tcPr>
            <w:tcW w:w="594" w:type="dxa"/>
            <w:vAlign w:val="top"/>
          </w:tcPr>
          <w:p w14:paraId="2783FEF7">
            <w:pPr>
              <w:pStyle w:val="21"/>
              <w:spacing w:before="181" w:line="226" w:lineRule="auto"/>
              <w:ind w:left="116"/>
              <w:rPr>
                <w:rFonts w:hint="eastAsia" w:ascii="仿宋" w:hAnsi="仿宋" w:eastAsia="仿宋" w:cs="仿宋"/>
                <w:color w:val="auto"/>
                <w:spacing w:val="8"/>
                <w:sz w:val="21"/>
                <w:szCs w:val="21"/>
                <w:highlight w:val="none"/>
              </w:rPr>
            </w:pPr>
          </w:p>
        </w:tc>
      </w:tr>
    </w:tbl>
    <w:p w14:paraId="3D170833">
      <w:pPr>
        <w:rPr>
          <w:rFonts w:hint="eastAsia" w:ascii="仿宋" w:hAnsi="仿宋" w:eastAsia="仿宋" w:cs="仿宋"/>
          <w:b/>
          <w:bCs/>
          <w:color w:val="auto"/>
          <w:sz w:val="28"/>
          <w:szCs w:val="28"/>
          <w:highlight w:val="none"/>
          <w:lang w:val="en-US" w:eastAsia="zh-CN"/>
        </w:rPr>
      </w:pPr>
    </w:p>
    <w:p w14:paraId="3D5134A2">
      <w:pPr>
        <w:pStyle w:val="4"/>
        <w:rPr>
          <w:rFonts w:hint="eastAsia" w:ascii="仿宋" w:hAnsi="仿宋" w:eastAsia="仿宋" w:cs="仿宋"/>
          <w:b/>
          <w:bCs/>
          <w:color w:val="auto"/>
          <w:sz w:val="28"/>
          <w:szCs w:val="28"/>
          <w:highlight w:val="none"/>
          <w:lang w:val="en-US" w:eastAsia="zh-CN"/>
        </w:rPr>
      </w:pPr>
    </w:p>
    <w:p w14:paraId="1F1971D3">
      <w:pPr>
        <w:pStyle w:val="4"/>
        <w:rPr>
          <w:rFonts w:hint="eastAsia" w:ascii="仿宋" w:hAnsi="仿宋" w:eastAsia="仿宋" w:cs="仿宋"/>
          <w:b/>
          <w:bCs/>
          <w:color w:val="auto"/>
          <w:sz w:val="28"/>
          <w:szCs w:val="28"/>
          <w:highlight w:val="none"/>
          <w:lang w:val="en-US" w:eastAsia="zh-CN"/>
        </w:rPr>
      </w:pPr>
    </w:p>
    <w:p w14:paraId="02AC4F60">
      <w:pPr>
        <w:pStyle w:val="4"/>
        <w:rPr>
          <w:rFonts w:hint="eastAsia" w:ascii="仿宋" w:hAnsi="仿宋" w:eastAsia="仿宋" w:cs="仿宋"/>
          <w:b/>
          <w:bCs/>
          <w:color w:val="auto"/>
          <w:sz w:val="28"/>
          <w:szCs w:val="28"/>
          <w:highlight w:val="none"/>
          <w:lang w:val="en-US" w:eastAsia="zh-CN"/>
        </w:rPr>
      </w:pPr>
    </w:p>
    <w:p w14:paraId="3B086141">
      <w:pPr>
        <w:rPr>
          <w:rFonts w:hint="eastAsia" w:ascii="仿宋" w:hAnsi="仿宋" w:eastAsia="仿宋" w:cs="仿宋"/>
          <w:b/>
          <w:bCs/>
          <w:color w:val="auto"/>
          <w:sz w:val="28"/>
          <w:szCs w:val="28"/>
          <w:highlight w:val="none"/>
          <w:lang w:val="en-US" w:eastAsia="zh-CN"/>
        </w:rPr>
      </w:pPr>
    </w:p>
    <w:p w14:paraId="2E73BD9F">
      <w:pPr>
        <w:rPr>
          <w:rFonts w:hint="eastAsia" w:ascii="仿宋" w:hAnsi="仿宋" w:eastAsia="仿宋" w:cs="仿宋"/>
          <w:b/>
          <w:bCs/>
          <w:color w:val="auto"/>
          <w:sz w:val="28"/>
          <w:szCs w:val="28"/>
          <w:highlight w:val="none"/>
          <w:lang w:val="en-US" w:eastAsia="zh-CN"/>
        </w:rPr>
      </w:pPr>
    </w:p>
    <w:p w14:paraId="658F486C">
      <w:pPr>
        <w:rPr>
          <w:rFonts w:hint="eastAsia" w:ascii="仿宋" w:hAnsi="仿宋" w:eastAsia="仿宋" w:cs="仿宋"/>
          <w:b/>
          <w:bCs/>
          <w:color w:val="auto"/>
          <w:sz w:val="28"/>
          <w:szCs w:val="28"/>
          <w:highlight w:val="none"/>
          <w:lang w:val="en-US" w:eastAsia="zh-CN"/>
        </w:rPr>
      </w:pPr>
    </w:p>
    <w:p w14:paraId="44A43FC7">
      <w:pPr>
        <w:rPr>
          <w:rFonts w:hint="eastAsia" w:ascii="仿宋" w:hAnsi="仿宋" w:eastAsia="仿宋" w:cs="仿宋"/>
          <w:b/>
          <w:bCs/>
          <w:color w:val="auto"/>
          <w:sz w:val="28"/>
          <w:szCs w:val="28"/>
          <w:highlight w:val="none"/>
          <w:lang w:val="en-US" w:eastAsia="zh-CN"/>
        </w:rPr>
      </w:pPr>
    </w:p>
    <w:p w14:paraId="6F040590">
      <w:pPr>
        <w:rPr>
          <w:rFonts w:hint="eastAsia" w:ascii="仿宋" w:hAnsi="仿宋" w:eastAsia="仿宋" w:cs="仿宋"/>
          <w:b/>
          <w:bCs/>
          <w:color w:val="auto"/>
          <w:sz w:val="28"/>
          <w:szCs w:val="28"/>
          <w:highlight w:val="none"/>
          <w:lang w:val="en-US" w:eastAsia="zh-CN"/>
        </w:rPr>
      </w:pPr>
    </w:p>
    <w:p w14:paraId="0399199A">
      <w:pPr>
        <w:rPr>
          <w:rFonts w:hint="eastAsia" w:ascii="仿宋" w:hAnsi="仿宋" w:eastAsia="仿宋" w:cs="仿宋"/>
          <w:b/>
          <w:bCs/>
          <w:color w:val="auto"/>
          <w:sz w:val="28"/>
          <w:szCs w:val="28"/>
          <w:highlight w:val="none"/>
          <w:lang w:val="en-US" w:eastAsia="zh-CN"/>
        </w:rPr>
      </w:pPr>
    </w:p>
    <w:p w14:paraId="6045E689">
      <w:pPr>
        <w:rPr>
          <w:rFonts w:hint="eastAsia" w:ascii="仿宋" w:hAnsi="仿宋" w:eastAsia="仿宋" w:cs="仿宋"/>
          <w:b/>
          <w:bCs/>
          <w:color w:val="auto"/>
          <w:sz w:val="28"/>
          <w:szCs w:val="28"/>
          <w:highlight w:val="none"/>
          <w:lang w:val="en-US" w:eastAsia="zh-CN"/>
        </w:rPr>
      </w:pPr>
    </w:p>
    <w:p w14:paraId="5276292F">
      <w:pPr>
        <w:rPr>
          <w:rFonts w:hint="eastAsia" w:ascii="仿宋" w:hAnsi="仿宋" w:eastAsia="仿宋" w:cs="仿宋"/>
          <w:b/>
          <w:bCs/>
          <w:color w:val="auto"/>
          <w:sz w:val="28"/>
          <w:szCs w:val="28"/>
          <w:highlight w:val="none"/>
          <w:lang w:val="en-US" w:eastAsia="zh-CN"/>
        </w:rPr>
      </w:pPr>
    </w:p>
    <w:p w14:paraId="5C7CDD22">
      <w:pPr>
        <w:rPr>
          <w:rFonts w:hint="eastAsia" w:ascii="仿宋" w:hAnsi="仿宋" w:eastAsia="仿宋" w:cs="仿宋"/>
          <w:b/>
          <w:bCs/>
          <w:color w:val="auto"/>
          <w:sz w:val="28"/>
          <w:szCs w:val="28"/>
          <w:highlight w:val="none"/>
          <w:lang w:val="en-US" w:eastAsia="zh-CN"/>
        </w:rPr>
      </w:pPr>
    </w:p>
    <w:p w14:paraId="58EF8F6E">
      <w:pPr>
        <w:rPr>
          <w:rFonts w:hint="eastAsia" w:ascii="仿宋" w:hAnsi="仿宋" w:eastAsia="仿宋" w:cs="仿宋"/>
          <w:b/>
          <w:bCs/>
          <w:color w:val="auto"/>
          <w:sz w:val="28"/>
          <w:szCs w:val="28"/>
          <w:highlight w:val="none"/>
          <w:lang w:val="en-US" w:eastAsia="zh-CN"/>
        </w:rPr>
      </w:pPr>
    </w:p>
    <w:p w14:paraId="4C3FF53F">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标项9：</w:t>
      </w:r>
    </w:p>
    <w:p w14:paraId="30016039">
      <w:pPr>
        <w:rPr>
          <w:rFonts w:hint="eastAsia" w:ascii="仿宋" w:hAnsi="仿宋" w:eastAsia="仿宋" w:cs="仿宋"/>
          <w:b/>
          <w:bCs/>
          <w:color w:val="auto"/>
          <w:sz w:val="28"/>
          <w:szCs w:val="28"/>
          <w:highlight w:val="none"/>
          <w:lang w:val="en-US" w:eastAsia="zh-CN"/>
        </w:rPr>
      </w:pPr>
    </w:p>
    <w:tbl>
      <w:tblPr>
        <w:tblStyle w:val="20"/>
        <w:tblW w:w="99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0"/>
        <w:gridCol w:w="1263"/>
        <w:gridCol w:w="711"/>
        <w:gridCol w:w="6968"/>
        <w:gridCol w:w="433"/>
      </w:tblGrid>
      <w:tr w14:paraId="0B6C7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530" w:type="dxa"/>
            <w:vAlign w:val="center"/>
          </w:tcPr>
          <w:p w14:paraId="0EE6BEF5">
            <w:pPr>
              <w:pStyle w:val="21"/>
              <w:spacing w:before="109" w:line="210" w:lineRule="auto"/>
              <w:jc w:val="center"/>
              <w:outlineLvl w:val="1"/>
              <w:rPr>
                <w:rFonts w:hint="eastAsia" w:eastAsia="宋体"/>
                <w:color w:val="auto"/>
                <w:highlight w:val="none"/>
                <w:lang w:val="en-US" w:eastAsia="zh-CN"/>
              </w:rPr>
            </w:pPr>
            <w:r>
              <w:rPr>
                <w:rFonts w:hint="eastAsia" w:ascii="仿宋" w:hAnsi="仿宋" w:eastAsia="仿宋" w:cs="仿宋"/>
                <w:color w:val="auto"/>
                <w:sz w:val="21"/>
                <w:szCs w:val="21"/>
                <w:highlight w:val="none"/>
                <w:lang w:val="en-US" w:eastAsia="zh-CN"/>
              </w:rPr>
              <w:t>序号</w:t>
            </w:r>
          </w:p>
        </w:tc>
        <w:tc>
          <w:tcPr>
            <w:tcW w:w="1263" w:type="dxa"/>
            <w:vAlign w:val="center"/>
          </w:tcPr>
          <w:p w14:paraId="02780F37">
            <w:pPr>
              <w:pStyle w:val="21"/>
              <w:spacing w:before="109" w:line="210" w:lineRule="auto"/>
              <w:jc w:val="center"/>
              <w:outlineLvl w:val="1"/>
              <w:rPr>
                <w:color w:val="auto"/>
                <w:highlight w:val="none"/>
              </w:rPr>
            </w:pPr>
            <w:r>
              <w:rPr>
                <w:rFonts w:hint="eastAsia" w:ascii="仿宋" w:hAnsi="仿宋" w:eastAsia="仿宋" w:cs="仿宋"/>
                <w:color w:val="auto"/>
                <w:sz w:val="21"/>
                <w:szCs w:val="21"/>
                <w:highlight w:val="none"/>
                <w:lang w:val="en-US" w:eastAsia="zh-CN"/>
              </w:rPr>
              <w:t>评分因素</w:t>
            </w:r>
          </w:p>
        </w:tc>
        <w:tc>
          <w:tcPr>
            <w:tcW w:w="711" w:type="dxa"/>
            <w:vAlign w:val="center"/>
          </w:tcPr>
          <w:p w14:paraId="66631081">
            <w:pPr>
              <w:pStyle w:val="21"/>
              <w:spacing w:before="109" w:line="210" w:lineRule="auto"/>
              <w:jc w:val="center"/>
              <w:outlineLvl w:val="1"/>
              <w:rPr>
                <w:color w:val="auto"/>
                <w:highlight w:val="none"/>
              </w:rPr>
            </w:pPr>
            <w:r>
              <w:rPr>
                <w:rFonts w:hint="eastAsia" w:ascii="仿宋" w:hAnsi="仿宋" w:eastAsia="仿宋" w:cs="仿宋"/>
                <w:color w:val="auto"/>
                <w:sz w:val="21"/>
                <w:szCs w:val="21"/>
                <w:highlight w:val="none"/>
                <w:lang w:val="en-US" w:eastAsia="zh-CN"/>
              </w:rPr>
              <w:t>分值</w:t>
            </w:r>
          </w:p>
        </w:tc>
        <w:tc>
          <w:tcPr>
            <w:tcW w:w="6968" w:type="dxa"/>
            <w:vAlign w:val="center"/>
          </w:tcPr>
          <w:p w14:paraId="02E6B240">
            <w:pPr>
              <w:pStyle w:val="21"/>
              <w:spacing w:before="109" w:line="210" w:lineRule="auto"/>
              <w:jc w:val="center"/>
              <w:outlineLvl w:val="1"/>
              <w:rPr>
                <w:color w:val="auto"/>
                <w:highlight w:val="none"/>
              </w:rPr>
            </w:pPr>
            <w:r>
              <w:rPr>
                <w:rFonts w:hint="eastAsia" w:ascii="仿宋" w:hAnsi="仿宋" w:eastAsia="仿宋" w:cs="仿宋"/>
                <w:color w:val="auto"/>
                <w:sz w:val="21"/>
                <w:szCs w:val="21"/>
                <w:highlight w:val="none"/>
                <w:lang w:val="en-US" w:eastAsia="zh-CN"/>
              </w:rPr>
              <w:t>评分标准</w:t>
            </w:r>
          </w:p>
        </w:tc>
        <w:tc>
          <w:tcPr>
            <w:tcW w:w="433" w:type="dxa"/>
            <w:vAlign w:val="center"/>
          </w:tcPr>
          <w:p w14:paraId="58E96164">
            <w:pPr>
              <w:pStyle w:val="21"/>
              <w:spacing w:before="109" w:line="210" w:lineRule="auto"/>
              <w:jc w:val="center"/>
              <w:outlineLvl w:val="1"/>
              <w:rPr>
                <w:color w:val="auto"/>
                <w:highlight w:val="none"/>
              </w:rPr>
            </w:pPr>
            <w:r>
              <w:rPr>
                <w:rFonts w:hint="eastAsia" w:ascii="仿宋" w:hAnsi="仿宋" w:eastAsia="仿宋" w:cs="仿宋"/>
                <w:color w:val="auto"/>
                <w:sz w:val="21"/>
                <w:szCs w:val="21"/>
                <w:highlight w:val="none"/>
                <w:lang w:val="en-US" w:eastAsia="zh-CN"/>
              </w:rPr>
              <w:t>备注</w:t>
            </w:r>
          </w:p>
        </w:tc>
      </w:tr>
      <w:tr w14:paraId="3717F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0" w:hRule="atLeast"/>
        </w:trPr>
        <w:tc>
          <w:tcPr>
            <w:tcW w:w="530" w:type="dxa"/>
            <w:vAlign w:val="center"/>
          </w:tcPr>
          <w:p w14:paraId="42DE0772">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63" w:type="dxa"/>
            <w:vAlign w:val="center"/>
          </w:tcPr>
          <w:p w14:paraId="1BB342B1">
            <w:pPr>
              <w:pStyle w:val="21"/>
              <w:spacing w:before="75" w:line="226"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5"/>
                <w:sz w:val="21"/>
                <w:szCs w:val="21"/>
                <w:highlight w:val="none"/>
              </w:rPr>
              <w:t>报价部</w:t>
            </w:r>
            <w:r>
              <w:rPr>
                <w:rFonts w:hint="eastAsia" w:ascii="仿宋" w:hAnsi="仿宋" w:eastAsia="仿宋" w:cs="仿宋"/>
                <w:color w:val="auto"/>
                <w:sz w:val="21"/>
                <w:szCs w:val="21"/>
                <w:highlight w:val="none"/>
              </w:rPr>
              <w:t>分</w:t>
            </w:r>
          </w:p>
        </w:tc>
        <w:tc>
          <w:tcPr>
            <w:tcW w:w="711" w:type="dxa"/>
            <w:vAlign w:val="center"/>
          </w:tcPr>
          <w:p w14:paraId="6ADEDE9F">
            <w:pPr>
              <w:pStyle w:val="21"/>
              <w:spacing w:before="75" w:line="228" w:lineRule="auto"/>
              <w:jc w:val="center"/>
              <w:outlineLvl w:val="1"/>
              <w:rPr>
                <w:rFonts w:hint="eastAsia" w:ascii="仿宋" w:hAnsi="仿宋" w:eastAsia="仿宋" w:cs="仿宋"/>
                <w:color w:val="auto"/>
                <w:sz w:val="21"/>
                <w:szCs w:val="21"/>
                <w:highlight w:val="none"/>
              </w:rPr>
            </w:pPr>
            <w:r>
              <w:rPr>
                <w:rFonts w:hint="eastAsia" w:ascii="仿宋" w:hAnsi="仿宋" w:eastAsia="仿宋" w:cs="仿宋"/>
                <w:color w:val="auto"/>
                <w:spacing w:val="-2"/>
                <w:sz w:val="21"/>
                <w:szCs w:val="21"/>
                <w:highlight w:val="none"/>
              </w:rPr>
              <w:t>30分</w:t>
            </w:r>
          </w:p>
        </w:tc>
        <w:tc>
          <w:tcPr>
            <w:tcW w:w="6968" w:type="dxa"/>
            <w:vAlign w:val="center"/>
          </w:tcPr>
          <w:p w14:paraId="44AF497A">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采用低价优先法计算，即满足招标文件要求且投标下浮率最高的投标报价为评标基准下浮率，其价格分为满分。</w:t>
            </w:r>
          </w:p>
          <w:p w14:paraId="7B526EF3">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pacing w:val="-1"/>
                <w:sz w:val="21"/>
                <w:szCs w:val="21"/>
                <w:highlight w:val="none"/>
              </w:rPr>
              <w:t>其他投标人的价格分统一按照下列公式计算：投标报价（下浮率）得分=（投标下浮率/基准下浮率） ×价格权值（30%） ×100</w:t>
            </w:r>
          </w:p>
        </w:tc>
        <w:tc>
          <w:tcPr>
            <w:tcW w:w="433" w:type="dxa"/>
            <w:vAlign w:val="top"/>
          </w:tcPr>
          <w:p w14:paraId="41F62B80">
            <w:pPr>
              <w:rPr>
                <w:rFonts w:hint="eastAsia" w:ascii="仿宋" w:hAnsi="仿宋" w:eastAsia="仿宋" w:cs="仿宋"/>
                <w:color w:val="auto"/>
                <w:sz w:val="21"/>
                <w:szCs w:val="21"/>
                <w:highlight w:val="none"/>
              </w:rPr>
            </w:pPr>
          </w:p>
        </w:tc>
      </w:tr>
      <w:tr w14:paraId="73017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3" w:hRule="atLeast"/>
        </w:trPr>
        <w:tc>
          <w:tcPr>
            <w:tcW w:w="530" w:type="dxa"/>
            <w:vAlign w:val="center"/>
          </w:tcPr>
          <w:p w14:paraId="177BD296">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63" w:type="dxa"/>
            <w:vAlign w:val="center"/>
          </w:tcPr>
          <w:p w14:paraId="557F4CD3">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项目管理</w:t>
            </w:r>
          </w:p>
          <w:p w14:paraId="53B41681">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w:t>
            </w:r>
          </w:p>
        </w:tc>
        <w:tc>
          <w:tcPr>
            <w:tcW w:w="711" w:type="dxa"/>
            <w:vAlign w:val="center"/>
          </w:tcPr>
          <w:p w14:paraId="237B3274">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968" w:type="dxa"/>
            <w:vAlign w:val="center"/>
          </w:tcPr>
          <w:p w14:paraId="3DD1AE05">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lang w:val="en-US" w:eastAsia="zh-CN"/>
              </w:rPr>
              <w:t>1、</w:t>
            </w:r>
            <w:r>
              <w:rPr>
                <w:rFonts w:hint="eastAsia" w:ascii="仿宋" w:hAnsi="仿宋" w:eastAsia="仿宋" w:cs="仿宋"/>
                <w:color w:val="auto"/>
                <w:spacing w:val="-1"/>
                <w:sz w:val="21"/>
                <w:szCs w:val="21"/>
                <w:highlight w:val="none"/>
              </w:rPr>
              <w:t>制度内容完整、科学合理、有针对本项目的具体描述，规范及制度非常细致、全面、完善能够保证本项目采购后的所有技术服务要求得10分；</w:t>
            </w:r>
          </w:p>
          <w:p w14:paraId="2208ADC9">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lang w:val="en-US" w:eastAsia="zh-CN"/>
              </w:rPr>
              <w:t>2、</w:t>
            </w:r>
            <w:r>
              <w:rPr>
                <w:rFonts w:hint="eastAsia" w:ascii="仿宋" w:hAnsi="仿宋" w:eastAsia="仿宋" w:cs="仿宋"/>
                <w:color w:val="auto"/>
                <w:spacing w:val="-1"/>
                <w:sz w:val="21"/>
                <w:szCs w:val="21"/>
                <w:highlight w:val="none"/>
              </w:rPr>
              <w:t>制度内容完整，但是缺乏针对本项目采购需求的具体描述，可以满足采购需求的，得5分；</w:t>
            </w:r>
          </w:p>
          <w:p w14:paraId="1C0E33B5">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rPr>
              <w:t>3、制度内容不完整，缺乏针对性的，得2分；未提供不得分</w:t>
            </w:r>
            <w:r>
              <w:rPr>
                <w:rFonts w:hint="eastAsia" w:ascii="仿宋" w:hAnsi="仿宋" w:eastAsia="仿宋" w:cs="仿宋"/>
                <w:color w:val="auto"/>
                <w:spacing w:val="-1"/>
                <w:sz w:val="21"/>
                <w:szCs w:val="21"/>
                <w:highlight w:val="none"/>
                <w:lang w:eastAsia="zh-CN"/>
              </w:rPr>
              <w:t>。</w:t>
            </w:r>
          </w:p>
        </w:tc>
        <w:tc>
          <w:tcPr>
            <w:tcW w:w="433" w:type="dxa"/>
            <w:vAlign w:val="top"/>
          </w:tcPr>
          <w:p w14:paraId="7709CD03">
            <w:pPr>
              <w:rPr>
                <w:rFonts w:hint="eastAsia" w:ascii="仿宋" w:hAnsi="仿宋" w:eastAsia="仿宋" w:cs="仿宋"/>
                <w:color w:val="auto"/>
                <w:sz w:val="21"/>
                <w:szCs w:val="21"/>
                <w:highlight w:val="none"/>
              </w:rPr>
            </w:pPr>
          </w:p>
        </w:tc>
      </w:tr>
      <w:tr w14:paraId="6C388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trPr>
        <w:tc>
          <w:tcPr>
            <w:tcW w:w="530" w:type="dxa"/>
            <w:vAlign w:val="center"/>
          </w:tcPr>
          <w:p w14:paraId="0EC13C44">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63" w:type="dxa"/>
            <w:vAlign w:val="center"/>
          </w:tcPr>
          <w:p w14:paraId="6DB6C62A">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质量保</w:t>
            </w:r>
          </w:p>
          <w:p w14:paraId="202D1CA9">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证措施</w:t>
            </w:r>
          </w:p>
        </w:tc>
        <w:tc>
          <w:tcPr>
            <w:tcW w:w="711" w:type="dxa"/>
            <w:vAlign w:val="center"/>
          </w:tcPr>
          <w:p w14:paraId="7DBAF4C4">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968" w:type="dxa"/>
            <w:vAlign w:val="center"/>
          </w:tcPr>
          <w:p w14:paraId="0FEA4711">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1</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质量控制方案内容全面详细、具体、合理、针对性强得10分；</w:t>
            </w:r>
          </w:p>
          <w:p w14:paraId="39747117">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2、质量控制方案内容较全面、较具体、较合理、针对性较强得5分；</w:t>
            </w:r>
          </w:p>
          <w:p w14:paraId="7487E3B5">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3、质量控制方案内容不够全面、不够详细、不够具体、不够合理,针对性有所欠缺得2分；未提供的不得分。</w:t>
            </w:r>
          </w:p>
        </w:tc>
        <w:tc>
          <w:tcPr>
            <w:tcW w:w="433" w:type="dxa"/>
            <w:vAlign w:val="top"/>
          </w:tcPr>
          <w:p w14:paraId="12651A92">
            <w:pPr>
              <w:rPr>
                <w:rFonts w:hint="eastAsia" w:ascii="仿宋" w:hAnsi="仿宋" w:eastAsia="仿宋" w:cs="仿宋"/>
                <w:color w:val="auto"/>
                <w:sz w:val="21"/>
                <w:szCs w:val="21"/>
                <w:highlight w:val="none"/>
              </w:rPr>
            </w:pPr>
          </w:p>
        </w:tc>
      </w:tr>
      <w:tr w14:paraId="131BA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1" w:hRule="atLeast"/>
        </w:trPr>
        <w:tc>
          <w:tcPr>
            <w:tcW w:w="530" w:type="dxa"/>
            <w:vAlign w:val="center"/>
          </w:tcPr>
          <w:p w14:paraId="1F255B2B">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263" w:type="dxa"/>
            <w:vAlign w:val="center"/>
          </w:tcPr>
          <w:p w14:paraId="1BBBFC5B">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w:t>
            </w:r>
          </w:p>
          <w:p w14:paraId="3D9D1F59">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w:t>
            </w:r>
          </w:p>
        </w:tc>
        <w:tc>
          <w:tcPr>
            <w:tcW w:w="711" w:type="dxa"/>
            <w:vAlign w:val="center"/>
          </w:tcPr>
          <w:p w14:paraId="5EE18171">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10分</w:t>
            </w:r>
          </w:p>
        </w:tc>
        <w:tc>
          <w:tcPr>
            <w:tcW w:w="6968" w:type="dxa"/>
            <w:vAlign w:val="center"/>
          </w:tcPr>
          <w:p w14:paraId="6755BA43">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根据本项目实际需求提供服务方案：</w:t>
            </w:r>
          </w:p>
          <w:p w14:paraId="0A276753">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rPr>
              <w:t>1、服务方案及承诺全面、合理、科学、可行性强得10分</w:t>
            </w:r>
            <w:r>
              <w:rPr>
                <w:rFonts w:hint="eastAsia" w:ascii="仿宋" w:hAnsi="仿宋" w:eastAsia="仿宋" w:cs="仿宋"/>
                <w:color w:val="auto"/>
                <w:spacing w:val="-1"/>
                <w:sz w:val="21"/>
                <w:szCs w:val="21"/>
                <w:highlight w:val="none"/>
                <w:lang w:eastAsia="zh-CN"/>
              </w:rPr>
              <w:t>；</w:t>
            </w:r>
          </w:p>
          <w:p w14:paraId="457D69AA">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rPr>
              <w:t>2、服务方案及承诺较全面、比较合理、科学、但可行得5分</w:t>
            </w:r>
            <w:r>
              <w:rPr>
                <w:rFonts w:hint="eastAsia" w:ascii="仿宋" w:hAnsi="仿宋" w:eastAsia="仿宋" w:cs="仿宋"/>
                <w:color w:val="auto"/>
                <w:spacing w:val="-1"/>
                <w:sz w:val="21"/>
                <w:szCs w:val="21"/>
                <w:highlight w:val="none"/>
                <w:lang w:eastAsia="zh-CN"/>
              </w:rPr>
              <w:t>；</w:t>
            </w:r>
          </w:p>
          <w:p w14:paraId="15515088">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eastAsia="zh-CN"/>
              </w:rPr>
            </w:pPr>
            <w:r>
              <w:rPr>
                <w:rFonts w:hint="eastAsia" w:ascii="仿宋" w:hAnsi="仿宋" w:eastAsia="仿宋" w:cs="仿宋"/>
                <w:color w:val="auto"/>
                <w:spacing w:val="-1"/>
                <w:sz w:val="21"/>
                <w:szCs w:val="21"/>
                <w:highlight w:val="none"/>
              </w:rPr>
              <w:t>3、服务方案及承诺不够全面、不合理、科学、可行性差得1分</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lang w:val="en-US" w:eastAsia="zh-CN"/>
              </w:rPr>
              <w:t>未</w:t>
            </w:r>
            <w:r>
              <w:rPr>
                <w:rFonts w:hint="eastAsia" w:ascii="仿宋" w:hAnsi="仿宋" w:eastAsia="仿宋" w:cs="仿宋"/>
                <w:color w:val="auto"/>
                <w:spacing w:val="-1"/>
                <w:sz w:val="21"/>
                <w:szCs w:val="21"/>
                <w:highlight w:val="none"/>
              </w:rPr>
              <w:t>提供不得分</w:t>
            </w:r>
            <w:r>
              <w:rPr>
                <w:rFonts w:hint="eastAsia" w:ascii="仿宋" w:hAnsi="仿宋" w:eastAsia="仿宋" w:cs="仿宋"/>
                <w:color w:val="auto"/>
                <w:spacing w:val="-1"/>
                <w:sz w:val="21"/>
                <w:szCs w:val="21"/>
                <w:highlight w:val="none"/>
                <w:lang w:eastAsia="zh-CN"/>
              </w:rPr>
              <w:t>。</w:t>
            </w:r>
          </w:p>
        </w:tc>
        <w:tc>
          <w:tcPr>
            <w:tcW w:w="433" w:type="dxa"/>
            <w:vAlign w:val="top"/>
          </w:tcPr>
          <w:p w14:paraId="73B65A93">
            <w:pPr>
              <w:rPr>
                <w:rFonts w:hint="eastAsia" w:ascii="仿宋" w:hAnsi="仿宋" w:eastAsia="仿宋" w:cs="仿宋"/>
                <w:color w:val="auto"/>
                <w:sz w:val="21"/>
                <w:szCs w:val="21"/>
                <w:highlight w:val="none"/>
              </w:rPr>
            </w:pPr>
          </w:p>
        </w:tc>
      </w:tr>
      <w:tr w14:paraId="77424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1" w:hRule="atLeast"/>
        </w:trPr>
        <w:tc>
          <w:tcPr>
            <w:tcW w:w="530" w:type="dxa"/>
            <w:shd w:val="clear" w:color="auto" w:fill="auto"/>
            <w:vAlign w:val="center"/>
          </w:tcPr>
          <w:p w14:paraId="47A5881D">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5</w:t>
            </w:r>
          </w:p>
        </w:tc>
        <w:tc>
          <w:tcPr>
            <w:tcW w:w="1263" w:type="dxa"/>
            <w:shd w:val="clear" w:color="auto" w:fill="auto"/>
            <w:vAlign w:val="center"/>
          </w:tcPr>
          <w:p w14:paraId="18D6F349">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成果</w:t>
            </w:r>
          </w:p>
          <w:p w14:paraId="769AB300">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提交</w:t>
            </w:r>
          </w:p>
        </w:tc>
        <w:tc>
          <w:tcPr>
            <w:tcW w:w="711" w:type="dxa"/>
            <w:shd w:val="clear" w:color="auto" w:fill="auto"/>
            <w:vAlign w:val="center"/>
          </w:tcPr>
          <w:p w14:paraId="5CFF4D07">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10分</w:t>
            </w:r>
          </w:p>
        </w:tc>
        <w:tc>
          <w:tcPr>
            <w:tcW w:w="6968" w:type="dxa"/>
            <w:shd w:val="clear" w:color="auto" w:fill="auto"/>
            <w:vAlign w:val="center"/>
          </w:tcPr>
          <w:p w14:paraId="51E56069">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val="en-US" w:eastAsia="en-US"/>
              </w:rPr>
            </w:pPr>
            <w:r>
              <w:rPr>
                <w:rFonts w:hint="eastAsia" w:ascii="仿宋" w:hAnsi="仿宋" w:eastAsia="仿宋" w:cs="仿宋"/>
                <w:color w:val="auto"/>
                <w:spacing w:val="-1"/>
                <w:sz w:val="21"/>
                <w:szCs w:val="21"/>
                <w:highlight w:val="none"/>
              </w:rPr>
              <w:t>评估报告周期保证措施，以评估各阶段的组织安排科学合理，能满足计划要求，切实可行进行，由评委根据投标文件情况进行打分；优秀的10分、良的6分、差的2分。</w:t>
            </w:r>
            <w:r>
              <w:rPr>
                <w:rFonts w:hint="eastAsia" w:ascii="仿宋" w:hAnsi="仿宋" w:eastAsia="仿宋" w:cs="仿宋"/>
                <w:color w:val="auto"/>
                <w:spacing w:val="-1"/>
                <w:sz w:val="21"/>
                <w:szCs w:val="21"/>
                <w:highlight w:val="none"/>
                <w:lang w:val="en-US" w:eastAsia="zh-CN"/>
              </w:rPr>
              <w:t>未</w:t>
            </w:r>
            <w:r>
              <w:rPr>
                <w:rFonts w:hint="eastAsia" w:ascii="仿宋" w:hAnsi="仿宋" w:eastAsia="仿宋" w:cs="仿宋"/>
                <w:color w:val="auto"/>
                <w:spacing w:val="-1"/>
                <w:sz w:val="21"/>
                <w:szCs w:val="21"/>
                <w:highlight w:val="none"/>
              </w:rPr>
              <w:t>提供不得分</w:t>
            </w:r>
            <w:r>
              <w:rPr>
                <w:rFonts w:hint="eastAsia" w:ascii="仿宋" w:hAnsi="仿宋" w:eastAsia="仿宋" w:cs="仿宋"/>
                <w:color w:val="auto"/>
                <w:spacing w:val="-1"/>
                <w:sz w:val="21"/>
                <w:szCs w:val="21"/>
                <w:highlight w:val="none"/>
                <w:lang w:eastAsia="zh-CN"/>
              </w:rPr>
              <w:t>。</w:t>
            </w:r>
          </w:p>
        </w:tc>
        <w:tc>
          <w:tcPr>
            <w:tcW w:w="433" w:type="dxa"/>
            <w:shd w:val="clear" w:color="auto" w:fill="auto"/>
            <w:vAlign w:val="top"/>
          </w:tcPr>
          <w:p w14:paraId="5F4E6FFD">
            <w:pPr>
              <w:rPr>
                <w:rFonts w:hint="eastAsia" w:ascii="仿宋" w:hAnsi="仿宋" w:eastAsia="仿宋" w:cs="仿宋"/>
                <w:snapToGrid w:val="0"/>
                <w:color w:val="auto"/>
                <w:kern w:val="0"/>
                <w:sz w:val="21"/>
                <w:szCs w:val="21"/>
                <w:highlight w:val="none"/>
                <w:lang w:val="en-US" w:eastAsia="en-US" w:bidi="ar-SA"/>
              </w:rPr>
            </w:pPr>
          </w:p>
        </w:tc>
      </w:tr>
      <w:tr w14:paraId="2D711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0" w:hRule="atLeast"/>
        </w:trPr>
        <w:tc>
          <w:tcPr>
            <w:tcW w:w="530" w:type="dxa"/>
            <w:shd w:val="clear" w:color="auto" w:fill="auto"/>
            <w:vAlign w:val="center"/>
          </w:tcPr>
          <w:p w14:paraId="2D614FDA">
            <w:pPr>
              <w:pStyle w:val="21"/>
              <w:spacing w:before="75" w:line="189" w:lineRule="auto"/>
              <w:jc w:val="center"/>
              <w:rPr>
                <w:rFonts w:hint="eastAsia" w:ascii="仿宋" w:hAnsi="仿宋" w:eastAsia="仿宋" w:cs="仿宋"/>
                <w:color w:val="auto"/>
                <w:sz w:val="21"/>
                <w:szCs w:val="21"/>
                <w:highlight w:val="none"/>
              </w:rPr>
            </w:pPr>
          </w:p>
          <w:p w14:paraId="222460FC">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6</w:t>
            </w:r>
          </w:p>
        </w:tc>
        <w:tc>
          <w:tcPr>
            <w:tcW w:w="1263" w:type="dxa"/>
            <w:shd w:val="clear" w:color="auto" w:fill="auto"/>
            <w:vAlign w:val="center"/>
          </w:tcPr>
          <w:p w14:paraId="51B64EF4">
            <w:pPr>
              <w:pStyle w:val="21"/>
              <w:spacing w:before="75" w:line="189"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项目负</w:t>
            </w:r>
          </w:p>
          <w:p w14:paraId="73D63298">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责人</w:t>
            </w:r>
          </w:p>
        </w:tc>
        <w:tc>
          <w:tcPr>
            <w:tcW w:w="711" w:type="dxa"/>
            <w:shd w:val="clear" w:color="auto" w:fill="auto"/>
            <w:vAlign w:val="center"/>
          </w:tcPr>
          <w:p w14:paraId="7EB9484E">
            <w:pPr>
              <w:pStyle w:val="21"/>
              <w:spacing w:before="75" w:line="189"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2分</w:t>
            </w:r>
          </w:p>
        </w:tc>
        <w:tc>
          <w:tcPr>
            <w:tcW w:w="6968" w:type="dxa"/>
            <w:shd w:val="clear" w:color="auto" w:fill="auto"/>
            <w:vAlign w:val="center"/>
          </w:tcPr>
          <w:p w14:paraId="29DF2CA9">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1、评估负责人执业年限5年及以上（从注册评估师初始注册计算）得4分</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（需提供相关证书，及近三月社保证明</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w:t>
            </w:r>
          </w:p>
          <w:p w14:paraId="73280B08">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2、每提供一名注册评估师得1分，最多得</w:t>
            </w:r>
            <w:r>
              <w:rPr>
                <w:rFonts w:hint="eastAsia" w:ascii="仿宋" w:hAnsi="仿宋" w:eastAsia="仿宋" w:cs="仿宋"/>
                <w:color w:val="auto"/>
                <w:spacing w:val="-1"/>
                <w:sz w:val="21"/>
                <w:szCs w:val="21"/>
                <w:highlight w:val="none"/>
                <w:lang w:val="en-US" w:eastAsia="zh-CN"/>
              </w:rPr>
              <w:t>3</w:t>
            </w:r>
            <w:r>
              <w:rPr>
                <w:rFonts w:hint="eastAsia" w:ascii="仿宋" w:hAnsi="仿宋" w:eastAsia="仿宋" w:cs="仿宋"/>
                <w:color w:val="auto"/>
                <w:spacing w:val="-1"/>
                <w:sz w:val="21"/>
                <w:szCs w:val="21"/>
                <w:highlight w:val="none"/>
              </w:rPr>
              <w:t>分</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（需提供相关证书，及近三月社保证明</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w:t>
            </w:r>
          </w:p>
          <w:p w14:paraId="47B6B990">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val="en-US" w:eastAsia="en-US"/>
              </w:rPr>
            </w:pPr>
            <w:r>
              <w:rPr>
                <w:rFonts w:hint="eastAsia" w:ascii="仿宋" w:hAnsi="仿宋" w:eastAsia="仿宋" w:cs="仿宋"/>
                <w:color w:val="auto"/>
                <w:spacing w:val="-1"/>
                <w:sz w:val="21"/>
                <w:szCs w:val="21"/>
                <w:highlight w:val="none"/>
              </w:rPr>
              <w:t>3、评估负责人每提供一个业绩得1分，最多得</w:t>
            </w:r>
            <w:r>
              <w:rPr>
                <w:rFonts w:hint="eastAsia" w:ascii="仿宋" w:hAnsi="仿宋" w:eastAsia="仿宋" w:cs="仿宋"/>
                <w:color w:val="auto"/>
                <w:spacing w:val="-1"/>
                <w:sz w:val="21"/>
                <w:szCs w:val="21"/>
                <w:highlight w:val="none"/>
                <w:lang w:val="en-US" w:eastAsia="zh-CN"/>
              </w:rPr>
              <w:t>5</w:t>
            </w:r>
            <w:r>
              <w:rPr>
                <w:rFonts w:hint="eastAsia" w:ascii="仿宋" w:hAnsi="仿宋" w:eastAsia="仿宋" w:cs="仿宋"/>
                <w:color w:val="auto"/>
                <w:spacing w:val="-1"/>
                <w:sz w:val="21"/>
                <w:szCs w:val="21"/>
                <w:highlight w:val="none"/>
              </w:rPr>
              <w:t>分</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（需提供评估报告）</w:t>
            </w:r>
          </w:p>
        </w:tc>
        <w:tc>
          <w:tcPr>
            <w:tcW w:w="433" w:type="dxa"/>
            <w:shd w:val="clear" w:color="auto" w:fill="auto"/>
            <w:vAlign w:val="top"/>
          </w:tcPr>
          <w:p w14:paraId="550F8666">
            <w:pPr>
              <w:rPr>
                <w:rFonts w:hint="eastAsia" w:ascii="仿宋" w:hAnsi="仿宋" w:eastAsia="仿宋" w:cs="仿宋"/>
                <w:snapToGrid w:val="0"/>
                <w:color w:val="auto"/>
                <w:kern w:val="0"/>
                <w:sz w:val="21"/>
                <w:szCs w:val="21"/>
                <w:highlight w:val="none"/>
                <w:lang w:val="en-US" w:eastAsia="en-US" w:bidi="ar-SA"/>
              </w:rPr>
            </w:pPr>
          </w:p>
        </w:tc>
      </w:tr>
      <w:tr w14:paraId="35BD0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2" w:hRule="atLeast"/>
        </w:trPr>
        <w:tc>
          <w:tcPr>
            <w:tcW w:w="530" w:type="dxa"/>
            <w:shd w:val="clear" w:color="auto" w:fill="auto"/>
            <w:vAlign w:val="center"/>
          </w:tcPr>
          <w:p w14:paraId="7F286215">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7</w:t>
            </w:r>
          </w:p>
        </w:tc>
        <w:tc>
          <w:tcPr>
            <w:tcW w:w="1263" w:type="dxa"/>
            <w:shd w:val="clear" w:color="auto" w:fill="auto"/>
            <w:vAlign w:val="center"/>
          </w:tcPr>
          <w:p w14:paraId="25D44BD9">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投标人近三年业绩</w:t>
            </w:r>
          </w:p>
        </w:tc>
        <w:tc>
          <w:tcPr>
            <w:tcW w:w="711" w:type="dxa"/>
            <w:shd w:val="clear" w:color="auto" w:fill="auto"/>
            <w:vAlign w:val="center"/>
          </w:tcPr>
          <w:p w14:paraId="616D50C6">
            <w:pPr>
              <w:pStyle w:val="21"/>
              <w:spacing w:before="75" w:line="189" w:lineRule="auto"/>
              <w:jc w:val="center"/>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lang w:val="en-US" w:eastAsia="zh-CN"/>
              </w:rPr>
              <w:t>18</w:t>
            </w:r>
            <w:r>
              <w:rPr>
                <w:rFonts w:hint="eastAsia" w:ascii="仿宋" w:hAnsi="仿宋" w:eastAsia="仿宋" w:cs="仿宋"/>
                <w:color w:val="auto"/>
                <w:sz w:val="21"/>
                <w:szCs w:val="21"/>
                <w:highlight w:val="none"/>
              </w:rPr>
              <w:t>分</w:t>
            </w:r>
          </w:p>
        </w:tc>
        <w:tc>
          <w:tcPr>
            <w:tcW w:w="6968" w:type="dxa"/>
            <w:shd w:val="clear" w:color="auto" w:fill="auto"/>
            <w:vAlign w:val="center"/>
          </w:tcPr>
          <w:p w14:paraId="41EFAB4D">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投标单位近三年（投标截止日前三年）每提供一项业绩得</w:t>
            </w:r>
            <w:r>
              <w:rPr>
                <w:rFonts w:hint="eastAsia" w:ascii="仿宋" w:hAnsi="仿宋" w:eastAsia="仿宋" w:cs="仿宋"/>
                <w:color w:val="auto"/>
                <w:spacing w:val="-1"/>
                <w:sz w:val="21"/>
                <w:szCs w:val="21"/>
                <w:highlight w:val="none"/>
                <w:lang w:val="en-US" w:eastAsia="zh-CN"/>
              </w:rPr>
              <w:t>3</w:t>
            </w:r>
            <w:r>
              <w:rPr>
                <w:rFonts w:hint="eastAsia" w:ascii="仿宋" w:hAnsi="仿宋" w:eastAsia="仿宋" w:cs="仿宋"/>
                <w:color w:val="auto"/>
                <w:spacing w:val="-1"/>
                <w:sz w:val="21"/>
                <w:szCs w:val="21"/>
                <w:highlight w:val="none"/>
              </w:rPr>
              <w:t>分，满分为</w:t>
            </w:r>
            <w:r>
              <w:rPr>
                <w:rFonts w:hint="eastAsia" w:ascii="仿宋" w:hAnsi="仿宋" w:eastAsia="仿宋" w:cs="仿宋"/>
                <w:color w:val="auto"/>
                <w:spacing w:val="-1"/>
                <w:sz w:val="21"/>
                <w:szCs w:val="21"/>
                <w:highlight w:val="none"/>
                <w:lang w:val="en-US" w:eastAsia="zh-CN"/>
              </w:rPr>
              <w:t>18</w:t>
            </w:r>
            <w:r>
              <w:rPr>
                <w:rFonts w:hint="eastAsia" w:ascii="仿宋" w:hAnsi="仿宋" w:eastAsia="仿宋" w:cs="仿宋"/>
                <w:color w:val="auto"/>
                <w:spacing w:val="-1"/>
                <w:sz w:val="21"/>
                <w:szCs w:val="21"/>
                <w:highlight w:val="none"/>
              </w:rPr>
              <w:t>分。（业绩证明材料需提供评估咨询合同、评估报告。）</w:t>
            </w:r>
          </w:p>
          <w:p w14:paraId="7A27EC62">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lang w:val="en-US" w:eastAsia="en-US"/>
              </w:rPr>
            </w:pPr>
            <w:r>
              <w:rPr>
                <w:rFonts w:hint="eastAsia" w:ascii="仿宋" w:hAnsi="仿宋" w:eastAsia="仿宋" w:cs="仿宋"/>
                <w:color w:val="auto"/>
                <w:spacing w:val="-1"/>
                <w:sz w:val="21"/>
                <w:szCs w:val="21"/>
                <w:highlight w:val="none"/>
              </w:rPr>
              <w:t>以上材料均须复印件加盖供应商公章，业绩证明材料提供齐全视为有效业绩，未提供或提供不齐全视为无效业绩不得分。</w:t>
            </w:r>
          </w:p>
        </w:tc>
        <w:tc>
          <w:tcPr>
            <w:tcW w:w="433" w:type="dxa"/>
            <w:shd w:val="clear" w:color="auto" w:fill="auto"/>
            <w:vAlign w:val="top"/>
          </w:tcPr>
          <w:p w14:paraId="3E582069">
            <w:pPr>
              <w:rPr>
                <w:rFonts w:hint="eastAsia" w:ascii="仿宋" w:hAnsi="仿宋" w:eastAsia="仿宋" w:cs="仿宋"/>
                <w:snapToGrid w:val="0"/>
                <w:color w:val="auto"/>
                <w:kern w:val="0"/>
                <w:sz w:val="21"/>
                <w:szCs w:val="21"/>
                <w:highlight w:val="none"/>
                <w:lang w:val="en-US" w:eastAsia="en-US" w:bidi="ar-SA"/>
              </w:rPr>
            </w:pPr>
          </w:p>
        </w:tc>
      </w:tr>
    </w:tbl>
    <w:p w14:paraId="72D87CF3">
      <w:pP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标项10：</w:t>
      </w:r>
    </w:p>
    <w:p w14:paraId="76B1C6C3">
      <w:pPr>
        <w:pStyle w:val="4"/>
        <w:rPr>
          <w:rFonts w:hint="eastAsia"/>
          <w:color w:val="auto"/>
          <w:highlight w:val="none"/>
          <w:lang w:val="en-US" w:eastAsia="zh-CN"/>
        </w:rPr>
      </w:pPr>
    </w:p>
    <w:tbl>
      <w:tblPr>
        <w:tblStyle w:val="20"/>
        <w:tblW w:w="100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6"/>
        <w:gridCol w:w="1225"/>
        <w:gridCol w:w="711"/>
        <w:gridCol w:w="6871"/>
        <w:gridCol w:w="589"/>
      </w:tblGrid>
      <w:tr w14:paraId="29E3F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646" w:type="dxa"/>
            <w:vAlign w:val="center"/>
          </w:tcPr>
          <w:p w14:paraId="58BBA916">
            <w:pPr>
              <w:pStyle w:val="21"/>
              <w:spacing w:before="109" w:line="210" w:lineRule="auto"/>
              <w:jc w:val="center"/>
              <w:outlineLvl w:val="1"/>
              <w:rPr>
                <w:color w:val="auto"/>
                <w:highlight w:val="none"/>
              </w:rPr>
            </w:pPr>
            <w:r>
              <w:rPr>
                <w:rFonts w:hint="eastAsia" w:ascii="仿宋" w:hAnsi="仿宋" w:eastAsia="仿宋" w:cs="仿宋"/>
                <w:color w:val="auto"/>
                <w:sz w:val="21"/>
                <w:szCs w:val="21"/>
                <w:highlight w:val="none"/>
                <w:lang w:val="en-US" w:eastAsia="zh-CN"/>
              </w:rPr>
              <w:t>序号</w:t>
            </w:r>
          </w:p>
        </w:tc>
        <w:tc>
          <w:tcPr>
            <w:tcW w:w="1225" w:type="dxa"/>
            <w:vAlign w:val="center"/>
          </w:tcPr>
          <w:p w14:paraId="3D063E88">
            <w:pPr>
              <w:pStyle w:val="21"/>
              <w:spacing w:before="109" w:line="210" w:lineRule="auto"/>
              <w:jc w:val="center"/>
              <w:outlineLvl w:val="1"/>
              <w:rPr>
                <w:color w:val="auto"/>
                <w:sz w:val="23"/>
                <w:szCs w:val="23"/>
                <w:highlight w:val="none"/>
              </w:rPr>
            </w:pPr>
            <w:r>
              <w:rPr>
                <w:rFonts w:hint="eastAsia" w:ascii="仿宋" w:hAnsi="仿宋" w:eastAsia="仿宋" w:cs="仿宋"/>
                <w:color w:val="auto"/>
                <w:sz w:val="21"/>
                <w:szCs w:val="21"/>
                <w:highlight w:val="none"/>
                <w:lang w:val="en-US" w:eastAsia="zh-CN"/>
              </w:rPr>
              <w:t>评分因素</w:t>
            </w:r>
          </w:p>
        </w:tc>
        <w:tc>
          <w:tcPr>
            <w:tcW w:w="711" w:type="dxa"/>
            <w:vAlign w:val="center"/>
          </w:tcPr>
          <w:p w14:paraId="27012805">
            <w:pPr>
              <w:pStyle w:val="21"/>
              <w:spacing w:before="109" w:line="210" w:lineRule="auto"/>
              <w:jc w:val="center"/>
              <w:outlineLvl w:val="1"/>
              <w:rPr>
                <w:color w:val="auto"/>
                <w:sz w:val="23"/>
                <w:szCs w:val="23"/>
                <w:highlight w:val="none"/>
              </w:rPr>
            </w:pPr>
            <w:r>
              <w:rPr>
                <w:rFonts w:hint="eastAsia" w:ascii="仿宋" w:hAnsi="仿宋" w:eastAsia="仿宋" w:cs="仿宋"/>
                <w:color w:val="auto"/>
                <w:sz w:val="21"/>
                <w:szCs w:val="21"/>
                <w:highlight w:val="none"/>
                <w:lang w:val="en-US" w:eastAsia="zh-CN"/>
              </w:rPr>
              <w:t>分值</w:t>
            </w:r>
          </w:p>
        </w:tc>
        <w:tc>
          <w:tcPr>
            <w:tcW w:w="6871" w:type="dxa"/>
            <w:vAlign w:val="center"/>
          </w:tcPr>
          <w:p w14:paraId="04FC0307">
            <w:pPr>
              <w:pStyle w:val="21"/>
              <w:spacing w:before="109" w:line="210" w:lineRule="auto"/>
              <w:jc w:val="center"/>
              <w:outlineLvl w:val="1"/>
              <w:rPr>
                <w:color w:val="auto"/>
                <w:sz w:val="23"/>
                <w:szCs w:val="23"/>
                <w:highlight w:val="none"/>
              </w:rPr>
            </w:pPr>
            <w:r>
              <w:rPr>
                <w:rFonts w:hint="eastAsia" w:ascii="仿宋" w:hAnsi="仿宋" w:eastAsia="仿宋" w:cs="仿宋"/>
                <w:color w:val="auto"/>
                <w:sz w:val="21"/>
                <w:szCs w:val="21"/>
                <w:highlight w:val="none"/>
                <w:lang w:val="en-US" w:eastAsia="zh-CN"/>
              </w:rPr>
              <w:t>评分标准</w:t>
            </w:r>
          </w:p>
        </w:tc>
        <w:tc>
          <w:tcPr>
            <w:tcW w:w="589" w:type="dxa"/>
            <w:vAlign w:val="center"/>
          </w:tcPr>
          <w:p w14:paraId="45148A1E">
            <w:pPr>
              <w:pStyle w:val="21"/>
              <w:spacing w:before="109" w:line="210" w:lineRule="auto"/>
              <w:jc w:val="center"/>
              <w:outlineLvl w:val="1"/>
              <w:rPr>
                <w:color w:val="auto"/>
                <w:highlight w:val="none"/>
              </w:rPr>
            </w:pPr>
            <w:r>
              <w:rPr>
                <w:rFonts w:hint="eastAsia" w:ascii="仿宋" w:hAnsi="仿宋" w:eastAsia="仿宋" w:cs="仿宋"/>
                <w:color w:val="auto"/>
                <w:sz w:val="21"/>
                <w:szCs w:val="21"/>
                <w:highlight w:val="none"/>
                <w:lang w:val="en-US" w:eastAsia="zh-CN"/>
              </w:rPr>
              <w:t>备注</w:t>
            </w:r>
          </w:p>
        </w:tc>
      </w:tr>
      <w:tr w14:paraId="2200C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9" w:hRule="atLeast"/>
        </w:trPr>
        <w:tc>
          <w:tcPr>
            <w:tcW w:w="646" w:type="dxa"/>
            <w:vAlign w:val="center"/>
          </w:tcPr>
          <w:p w14:paraId="07B12464">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225" w:type="dxa"/>
            <w:vAlign w:val="center"/>
          </w:tcPr>
          <w:p w14:paraId="3DFACDAB">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管理方案</w:t>
            </w:r>
          </w:p>
        </w:tc>
        <w:tc>
          <w:tcPr>
            <w:tcW w:w="711" w:type="dxa"/>
            <w:vAlign w:val="center"/>
          </w:tcPr>
          <w:p w14:paraId="08D83075">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30分</w:t>
            </w:r>
          </w:p>
        </w:tc>
        <w:tc>
          <w:tcPr>
            <w:tcW w:w="6871" w:type="dxa"/>
            <w:vAlign w:val="center"/>
          </w:tcPr>
          <w:p w14:paraId="43EF9236">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pacing w:val="-1"/>
                <w:sz w:val="21"/>
                <w:szCs w:val="21"/>
                <w:highlight w:val="none"/>
              </w:rPr>
              <w:t>、制度内容完整、科学合理、有针对本项目的具体描述，规范及制度非常细致、全面、完善能够保证本项目采购后的所有技术服务要求得30分；</w:t>
            </w:r>
          </w:p>
          <w:p w14:paraId="5D5F857E">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2、制度内容完整，但是缺乏针对本项目采购需求的具体描述</w:t>
            </w:r>
            <w:r>
              <w:rPr>
                <w:rFonts w:hint="eastAsia" w:ascii="仿宋" w:hAnsi="仿宋" w:eastAsia="仿宋" w:cs="仿宋"/>
                <w:color w:val="auto"/>
                <w:spacing w:val="-1"/>
                <w:sz w:val="21"/>
                <w:szCs w:val="21"/>
                <w:highlight w:val="none"/>
                <w:lang w:eastAsia="zh-CN"/>
              </w:rPr>
              <w:t>，</w:t>
            </w:r>
            <w:r>
              <w:rPr>
                <w:rFonts w:hint="eastAsia" w:ascii="仿宋" w:hAnsi="仿宋" w:eastAsia="仿宋" w:cs="仿宋"/>
                <w:color w:val="auto"/>
                <w:spacing w:val="-1"/>
                <w:sz w:val="21"/>
                <w:szCs w:val="21"/>
                <w:highlight w:val="none"/>
              </w:rPr>
              <w:t>可以满足采购需求的，得20分；</w:t>
            </w:r>
          </w:p>
          <w:p w14:paraId="73EB8176">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pacing w:val="-1"/>
                <w:sz w:val="21"/>
                <w:szCs w:val="21"/>
                <w:highlight w:val="none"/>
              </w:rPr>
            </w:pPr>
            <w:r>
              <w:rPr>
                <w:rFonts w:hint="eastAsia" w:ascii="仿宋" w:hAnsi="仿宋" w:eastAsia="仿宋" w:cs="仿宋"/>
                <w:color w:val="auto"/>
                <w:spacing w:val="-1"/>
                <w:sz w:val="21"/>
                <w:szCs w:val="21"/>
                <w:highlight w:val="none"/>
              </w:rPr>
              <w:t>3、制度内容不完整，缺乏针对性的，得10分；</w:t>
            </w:r>
          </w:p>
          <w:p w14:paraId="6E41C5DE">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1"/>
                <w:sz w:val="21"/>
                <w:szCs w:val="21"/>
                <w:highlight w:val="none"/>
              </w:rPr>
              <w:t>4、制度内容不合理，无针对性，得5分；未提供不得分</w:t>
            </w:r>
            <w:r>
              <w:rPr>
                <w:rFonts w:hint="eastAsia" w:ascii="仿宋" w:hAnsi="仿宋" w:eastAsia="仿宋" w:cs="仿宋"/>
                <w:color w:val="auto"/>
                <w:spacing w:val="-1"/>
                <w:sz w:val="21"/>
                <w:szCs w:val="21"/>
                <w:highlight w:val="none"/>
                <w:lang w:eastAsia="zh-CN"/>
              </w:rPr>
              <w:t>。</w:t>
            </w:r>
          </w:p>
        </w:tc>
        <w:tc>
          <w:tcPr>
            <w:tcW w:w="589" w:type="dxa"/>
            <w:vAlign w:val="top"/>
          </w:tcPr>
          <w:p w14:paraId="66B71D85">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Arial"/>
                <w:color w:val="auto"/>
                <w:sz w:val="21"/>
                <w:highlight w:val="none"/>
              </w:rPr>
            </w:pPr>
          </w:p>
        </w:tc>
      </w:tr>
      <w:tr w14:paraId="2BC5C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8" w:hRule="atLeast"/>
        </w:trPr>
        <w:tc>
          <w:tcPr>
            <w:tcW w:w="646" w:type="dxa"/>
            <w:vAlign w:val="center"/>
          </w:tcPr>
          <w:p w14:paraId="27099858">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225" w:type="dxa"/>
            <w:vAlign w:val="center"/>
          </w:tcPr>
          <w:p w14:paraId="28E40558">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质量保证</w:t>
            </w:r>
          </w:p>
          <w:p w14:paraId="2A15FF13">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措施</w:t>
            </w:r>
          </w:p>
        </w:tc>
        <w:tc>
          <w:tcPr>
            <w:tcW w:w="711" w:type="dxa"/>
            <w:vAlign w:val="center"/>
          </w:tcPr>
          <w:p w14:paraId="4009BC20">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w:t>
            </w:r>
          </w:p>
        </w:tc>
        <w:tc>
          <w:tcPr>
            <w:tcW w:w="6871" w:type="dxa"/>
            <w:vAlign w:val="center"/>
          </w:tcPr>
          <w:p w14:paraId="66F5664D">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1、质量控制方案内容全面详细、具体、合理、针对性强得2</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w:t>
            </w:r>
          </w:p>
          <w:p w14:paraId="1D4D3E06">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2、质量控制方案内容较强的得</w:t>
            </w:r>
            <w:r>
              <w:rPr>
                <w:rFonts w:hint="eastAsia" w:ascii="仿宋" w:hAnsi="仿宋" w:eastAsia="仿宋" w:cs="仿宋"/>
                <w:color w:val="auto"/>
                <w:sz w:val="21"/>
                <w:szCs w:val="21"/>
                <w:highlight w:val="none"/>
                <w:lang w:val="en-US" w:eastAsia="zh-CN"/>
              </w:rPr>
              <w:t>17</w:t>
            </w:r>
            <w:r>
              <w:rPr>
                <w:rFonts w:hint="eastAsia" w:ascii="仿宋" w:hAnsi="仿宋" w:eastAsia="仿宋" w:cs="仿宋"/>
                <w:color w:val="auto"/>
                <w:sz w:val="21"/>
                <w:szCs w:val="21"/>
                <w:highlight w:val="none"/>
              </w:rPr>
              <w:t>分；</w:t>
            </w:r>
          </w:p>
          <w:p w14:paraId="068AE983">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3、质量控制方案内容一般的得</w:t>
            </w: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分；</w:t>
            </w:r>
          </w:p>
          <w:p w14:paraId="589B0104">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4、质量控制方案内容有所欠缺的得</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分；未提供的不得分。</w:t>
            </w:r>
          </w:p>
        </w:tc>
        <w:tc>
          <w:tcPr>
            <w:tcW w:w="589" w:type="dxa"/>
            <w:vAlign w:val="top"/>
          </w:tcPr>
          <w:p w14:paraId="7F4CFCE8">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Arial"/>
                <w:color w:val="auto"/>
                <w:sz w:val="21"/>
                <w:highlight w:val="none"/>
              </w:rPr>
            </w:pPr>
          </w:p>
        </w:tc>
      </w:tr>
      <w:tr w14:paraId="0345A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6" w:hRule="atLeast"/>
        </w:trPr>
        <w:tc>
          <w:tcPr>
            <w:tcW w:w="646" w:type="dxa"/>
            <w:vAlign w:val="center"/>
          </w:tcPr>
          <w:p w14:paraId="3E89CD28">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225" w:type="dxa"/>
            <w:vAlign w:val="center"/>
          </w:tcPr>
          <w:p w14:paraId="59F1B20E">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服务方案</w:t>
            </w:r>
          </w:p>
        </w:tc>
        <w:tc>
          <w:tcPr>
            <w:tcW w:w="711" w:type="dxa"/>
            <w:vAlign w:val="center"/>
          </w:tcPr>
          <w:p w14:paraId="3253E8F9">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20分</w:t>
            </w:r>
          </w:p>
        </w:tc>
        <w:tc>
          <w:tcPr>
            <w:tcW w:w="6871" w:type="dxa"/>
            <w:vAlign w:val="center"/>
          </w:tcPr>
          <w:p w14:paraId="2A5687BF">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根据本项目实际需求提供服务方案：</w:t>
            </w:r>
          </w:p>
          <w:p w14:paraId="5B7D9311">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服务方案及承诺全面、合理、科学、可行性强得20分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每少一项扣5分，扣完为止。</w:t>
            </w:r>
          </w:p>
        </w:tc>
        <w:tc>
          <w:tcPr>
            <w:tcW w:w="589" w:type="dxa"/>
            <w:vAlign w:val="top"/>
          </w:tcPr>
          <w:p w14:paraId="3187BDF2">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Arial"/>
                <w:color w:val="auto"/>
                <w:sz w:val="21"/>
                <w:highlight w:val="none"/>
              </w:rPr>
            </w:pPr>
          </w:p>
        </w:tc>
      </w:tr>
      <w:tr w14:paraId="166BA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646" w:type="dxa"/>
            <w:shd w:val="clear" w:color="auto" w:fill="auto"/>
            <w:vAlign w:val="center"/>
          </w:tcPr>
          <w:p w14:paraId="56C1F418">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4</w:t>
            </w:r>
          </w:p>
        </w:tc>
        <w:tc>
          <w:tcPr>
            <w:tcW w:w="1225" w:type="dxa"/>
            <w:shd w:val="clear" w:color="auto" w:fill="auto"/>
            <w:vAlign w:val="center"/>
          </w:tcPr>
          <w:p w14:paraId="00094AC6">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成果提交</w:t>
            </w:r>
          </w:p>
        </w:tc>
        <w:tc>
          <w:tcPr>
            <w:tcW w:w="711" w:type="dxa"/>
            <w:shd w:val="clear" w:color="auto" w:fill="auto"/>
            <w:vAlign w:val="center"/>
          </w:tcPr>
          <w:p w14:paraId="4B415B41">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w:t>
            </w:r>
          </w:p>
        </w:tc>
        <w:tc>
          <w:tcPr>
            <w:tcW w:w="6871" w:type="dxa"/>
            <w:shd w:val="clear" w:color="auto" w:fill="auto"/>
            <w:vAlign w:val="center"/>
          </w:tcPr>
          <w:p w14:paraId="4F1844AE">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both"/>
              <w:textAlignment w:val="baseline"/>
              <w:outlineLvl w:val="1"/>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公证书周期保证措施，以公证各阶段的组织安排科学合理，能满足计划要求，切实可行进行，由评委根据投标文件情况进行打分；优秀的1</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分、良的</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分、差的</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分。没有不得分</w:t>
            </w:r>
            <w:r>
              <w:rPr>
                <w:rFonts w:hint="eastAsia" w:ascii="仿宋" w:hAnsi="仿宋" w:eastAsia="仿宋" w:cs="仿宋"/>
                <w:color w:val="auto"/>
                <w:sz w:val="21"/>
                <w:szCs w:val="21"/>
                <w:highlight w:val="none"/>
                <w:lang w:eastAsia="zh-CN"/>
              </w:rPr>
              <w:t>。</w:t>
            </w:r>
          </w:p>
        </w:tc>
        <w:tc>
          <w:tcPr>
            <w:tcW w:w="589" w:type="dxa"/>
            <w:shd w:val="clear" w:color="auto" w:fill="auto"/>
            <w:vAlign w:val="top"/>
          </w:tcPr>
          <w:p w14:paraId="6103041B">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Arial" w:hAnsi="Arial" w:eastAsia="Arial" w:cs="Arial"/>
                <w:snapToGrid w:val="0"/>
                <w:color w:val="auto"/>
                <w:kern w:val="0"/>
                <w:sz w:val="21"/>
                <w:szCs w:val="21"/>
                <w:highlight w:val="none"/>
                <w:lang w:val="en-US" w:eastAsia="en-US" w:bidi="ar-SA"/>
              </w:rPr>
            </w:pPr>
          </w:p>
        </w:tc>
      </w:tr>
      <w:tr w14:paraId="4421B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3" w:hRule="atLeast"/>
        </w:trPr>
        <w:tc>
          <w:tcPr>
            <w:tcW w:w="646" w:type="dxa"/>
            <w:shd w:val="clear" w:color="auto" w:fill="auto"/>
            <w:vAlign w:val="center"/>
          </w:tcPr>
          <w:p w14:paraId="376D4540">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5</w:t>
            </w:r>
          </w:p>
        </w:tc>
        <w:tc>
          <w:tcPr>
            <w:tcW w:w="1225" w:type="dxa"/>
            <w:shd w:val="clear" w:color="auto" w:fill="auto"/>
            <w:vAlign w:val="center"/>
          </w:tcPr>
          <w:p w14:paraId="30972BE2">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项目负</w:t>
            </w:r>
          </w:p>
          <w:p w14:paraId="0D43D071">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责人</w:t>
            </w:r>
          </w:p>
        </w:tc>
        <w:tc>
          <w:tcPr>
            <w:tcW w:w="711" w:type="dxa"/>
            <w:shd w:val="clear" w:color="auto" w:fill="auto"/>
            <w:vAlign w:val="center"/>
          </w:tcPr>
          <w:p w14:paraId="1FB8B736">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10</w:t>
            </w:r>
            <w:r>
              <w:rPr>
                <w:rFonts w:hint="eastAsia" w:ascii="仿宋" w:hAnsi="仿宋" w:eastAsia="仿宋" w:cs="仿宋"/>
                <w:color w:val="auto"/>
                <w:sz w:val="21"/>
                <w:szCs w:val="21"/>
                <w:highlight w:val="none"/>
                <w:lang w:val="en-US" w:eastAsia="zh-CN"/>
              </w:rPr>
              <w:t>分</w:t>
            </w:r>
          </w:p>
        </w:tc>
        <w:tc>
          <w:tcPr>
            <w:tcW w:w="6871" w:type="dxa"/>
            <w:shd w:val="clear" w:color="auto" w:fill="auto"/>
            <w:vAlign w:val="top"/>
          </w:tcPr>
          <w:p w14:paraId="11FFE70F">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1、评估负责人执业年限5年及以上（从注册评估师初始注册计算）得4分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（需提供相关证书，及近三月社保证明）</w:t>
            </w:r>
          </w:p>
          <w:p w14:paraId="7743A72F">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2、每提供一名注册评估师得1分，最多得2分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（需提供相关证书，及近三月社保证明）</w:t>
            </w:r>
          </w:p>
          <w:p w14:paraId="2ED93B11">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3、评估负责人每提供一个业绩得1分，最多得4分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（需提供评估报告）</w:t>
            </w:r>
          </w:p>
        </w:tc>
        <w:tc>
          <w:tcPr>
            <w:tcW w:w="589" w:type="dxa"/>
            <w:shd w:val="clear" w:color="auto" w:fill="auto"/>
            <w:vAlign w:val="top"/>
          </w:tcPr>
          <w:p w14:paraId="3784E590">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Arial" w:hAnsi="Arial" w:eastAsia="Arial" w:cs="Arial"/>
                <w:snapToGrid w:val="0"/>
                <w:color w:val="auto"/>
                <w:kern w:val="0"/>
                <w:sz w:val="21"/>
                <w:szCs w:val="21"/>
                <w:highlight w:val="none"/>
                <w:lang w:val="en-US" w:eastAsia="en-US" w:bidi="ar-SA"/>
              </w:rPr>
            </w:pPr>
          </w:p>
        </w:tc>
      </w:tr>
      <w:tr w14:paraId="7ED47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646" w:type="dxa"/>
            <w:shd w:val="clear" w:color="auto" w:fill="auto"/>
            <w:vAlign w:val="center"/>
          </w:tcPr>
          <w:p w14:paraId="37018530">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6</w:t>
            </w:r>
          </w:p>
        </w:tc>
        <w:tc>
          <w:tcPr>
            <w:tcW w:w="1225" w:type="dxa"/>
            <w:shd w:val="clear" w:color="auto" w:fill="auto"/>
            <w:vAlign w:val="center"/>
          </w:tcPr>
          <w:p w14:paraId="3D38A513">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rPr>
              <w:t>投标人近三年业绩</w:t>
            </w:r>
          </w:p>
        </w:tc>
        <w:tc>
          <w:tcPr>
            <w:tcW w:w="711" w:type="dxa"/>
            <w:shd w:val="clear" w:color="auto" w:fill="auto"/>
            <w:vAlign w:val="center"/>
          </w:tcPr>
          <w:p w14:paraId="1A8940E6">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en-US"/>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w:t>
            </w:r>
          </w:p>
        </w:tc>
        <w:tc>
          <w:tcPr>
            <w:tcW w:w="6871" w:type="dxa"/>
            <w:shd w:val="clear" w:color="auto" w:fill="auto"/>
            <w:vAlign w:val="bottom"/>
          </w:tcPr>
          <w:p w14:paraId="3504F60E">
            <w:pPr>
              <w:pStyle w:val="21"/>
              <w:keepNext w:val="0"/>
              <w:keepLines w:val="0"/>
              <w:pageBreakBefore w:val="0"/>
              <w:widowControl/>
              <w:kinsoku w:val="0"/>
              <w:wordWrap/>
              <w:overflowPunct/>
              <w:topLinePunct w:val="0"/>
              <w:autoSpaceDE w:val="0"/>
              <w:autoSpaceDN w:val="0"/>
              <w:bidi w:val="0"/>
              <w:adjustRightInd w:val="0"/>
              <w:snapToGrid w:val="0"/>
              <w:spacing w:before="36" w:line="240" w:lineRule="exact"/>
              <w:ind w:left="114"/>
              <w:jc w:val="left"/>
              <w:textAlignment w:val="baseline"/>
              <w:outlineLvl w:val="1"/>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投标单位近三年（投标截止日前三年）每提供一项业绩得</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分，满分为</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分。（业绩证明材料需提供合同。以上材料均须复印件加盖供应商公章，业绩证明材料提供齐全视为有效业绩，未提供或提供不齐全视为无效业绩不得分。</w:t>
            </w:r>
          </w:p>
          <w:p w14:paraId="6737F97D">
            <w:pPr>
              <w:pStyle w:val="21"/>
              <w:keepNext w:val="0"/>
              <w:keepLines w:val="0"/>
              <w:pageBreakBefore w:val="0"/>
              <w:widowControl/>
              <w:kinsoku w:val="0"/>
              <w:wordWrap/>
              <w:overflowPunct/>
              <w:topLinePunct w:val="0"/>
              <w:autoSpaceDE w:val="0"/>
              <w:autoSpaceDN w:val="0"/>
              <w:bidi w:val="0"/>
              <w:adjustRightInd w:val="0"/>
              <w:snapToGrid w:val="0"/>
              <w:spacing w:before="78" w:line="240" w:lineRule="exact"/>
              <w:jc w:val="center"/>
              <w:textAlignment w:val="baseline"/>
              <w:rPr>
                <w:rFonts w:hint="eastAsia" w:ascii="仿宋" w:hAnsi="仿宋" w:eastAsia="仿宋" w:cs="仿宋"/>
                <w:color w:val="auto"/>
                <w:sz w:val="21"/>
                <w:szCs w:val="21"/>
                <w:highlight w:val="none"/>
                <w:lang w:val="en-US" w:eastAsia="en-US"/>
              </w:rPr>
            </w:pPr>
          </w:p>
        </w:tc>
        <w:tc>
          <w:tcPr>
            <w:tcW w:w="589" w:type="dxa"/>
            <w:shd w:val="clear" w:color="auto" w:fill="auto"/>
            <w:vAlign w:val="top"/>
          </w:tcPr>
          <w:p w14:paraId="66A327F9">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ascii="Arial" w:hAnsi="Arial" w:eastAsia="Arial" w:cs="Arial"/>
                <w:snapToGrid w:val="0"/>
                <w:color w:val="auto"/>
                <w:kern w:val="0"/>
                <w:sz w:val="21"/>
                <w:szCs w:val="21"/>
                <w:highlight w:val="none"/>
                <w:lang w:val="en-US" w:eastAsia="en-US" w:bidi="ar-SA"/>
              </w:rPr>
            </w:pPr>
          </w:p>
        </w:tc>
      </w:tr>
    </w:tbl>
    <w:p w14:paraId="042E832A">
      <w:pPr>
        <w:pStyle w:val="11"/>
        <w:rPr>
          <w:rFonts w:hint="eastAsia"/>
          <w:color w:val="auto"/>
          <w:highlight w:val="none"/>
        </w:rPr>
      </w:pPr>
    </w:p>
    <w:p w14:paraId="3EF9A3B2">
      <w:pPr>
        <w:spacing w:before="163" w:line="389" w:lineRule="exact"/>
        <w:jc w:val="center"/>
        <w:outlineLvl w:val="0"/>
        <w:rPr>
          <w:rFonts w:hint="eastAsia" w:ascii="仿宋" w:hAnsi="仿宋" w:eastAsia="仿宋" w:cs="仿宋"/>
          <w:color w:val="auto"/>
          <w:spacing w:val="3"/>
          <w:position w:val="-1"/>
          <w:sz w:val="38"/>
          <w:szCs w:val="38"/>
          <w:highlight w:val="none"/>
        </w:rPr>
      </w:pPr>
    </w:p>
    <w:p w14:paraId="6B4E985E">
      <w:pPr>
        <w:pStyle w:val="11"/>
        <w:rPr>
          <w:rFonts w:hint="eastAsia" w:ascii="仿宋" w:hAnsi="仿宋" w:eastAsia="仿宋" w:cs="仿宋"/>
          <w:color w:val="auto"/>
          <w:spacing w:val="3"/>
          <w:position w:val="-1"/>
          <w:sz w:val="38"/>
          <w:szCs w:val="38"/>
          <w:highlight w:val="none"/>
        </w:rPr>
      </w:pPr>
    </w:p>
    <w:p w14:paraId="5FD2C154">
      <w:pPr>
        <w:rPr>
          <w:rFonts w:hint="eastAsia" w:ascii="仿宋" w:hAnsi="仿宋" w:eastAsia="仿宋" w:cs="仿宋"/>
          <w:color w:val="auto"/>
          <w:spacing w:val="3"/>
          <w:position w:val="-1"/>
          <w:sz w:val="38"/>
          <w:szCs w:val="38"/>
          <w:highlight w:val="none"/>
        </w:rPr>
      </w:pPr>
    </w:p>
    <w:p w14:paraId="2E9EF539">
      <w:pPr>
        <w:pStyle w:val="11"/>
        <w:rPr>
          <w:rFonts w:hint="eastAsia" w:ascii="仿宋" w:hAnsi="仿宋" w:eastAsia="仿宋" w:cs="仿宋"/>
          <w:color w:val="auto"/>
          <w:spacing w:val="3"/>
          <w:position w:val="-1"/>
          <w:sz w:val="38"/>
          <w:szCs w:val="38"/>
          <w:highlight w:val="none"/>
        </w:rPr>
      </w:pPr>
    </w:p>
    <w:p w14:paraId="1A42704A">
      <w:pPr>
        <w:rPr>
          <w:rFonts w:hint="eastAsia" w:ascii="仿宋" w:hAnsi="仿宋" w:eastAsia="仿宋" w:cs="仿宋"/>
          <w:color w:val="auto"/>
          <w:spacing w:val="3"/>
          <w:position w:val="-1"/>
          <w:sz w:val="38"/>
          <w:szCs w:val="38"/>
          <w:highlight w:val="none"/>
        </w:rPr>
      </w:pPr>
    </w:p>
    <w:p w14:paraId="4FC5301F">
      <w:pPr>
        <w:pStyle w:val="11"/>
        <w:rPr>
          <w:rFonts w:hint="eastAsia" w:ascii="仿宋" w:hAnsi="仿宋" w:eastAsia="仿宋" w:cs="仿宋"/>
          <w:color w:val="auto"/>
          <w:spacing w:val="3"/>
          <w:position w:val="-1"/>
          <w:sz w:val="38"/>
          <w:szCs w:val="38"/>
          <w:highlight w:val="none"/>
        </w:rPr>
      </w:pPr>
    </w:p>
    <w:p w14:paraId="37B75D07">
      <w:pPr>
        <w:rPr>
          <w:rFonts w:hint="eastAsia" w:ascii="仿宋" w:hAnsi="仿宋" w:eastAsia="仿宋" w:cs="仿宋"/>
          <w:color w:val="auto"/>
          <w:spacing w:val="3"/>
          <w:position w:val="-1"/>
          <w:sz w:val="38"/>
          <w:szCs w:val="38"/>
          <w:highlight w:val="none"/>
        </w:rPr>
      </w:pPr>
    </w:p>
    <w:p w14:paraId="69850395">
      <w:pPr>
        <w:pStyle w:val="4"/>
        <w:rPr>
          <w:rFonts w:hint="eastAsia"/>
          <w:color w:val="auto"/>
          <w:highlight w:val="none"/>
        </w:rPr>
      </w:pPr>
    </w:p>
    <w:p w14:paraId="29161AE2">
      <w:pPr>
        <w:spacing w:before="163" w:line="389" w:lineRule="exact"/>
        <w:jc w:val="center"/>
        <w:outlineLvl w:val="0"/>
        <w:rPr>
          <w:rFonts w:hint="eastAsia" w:ascii="仿宋" w:hAnsi="仿宋" w:eastAsia="仿宋" w:cs="仿宋"/>
          <w:color w:val="auto"/>
          <w:spacing w:val="3"/>
          <w:position w:val="-1"/>
          <w:sz w:val="38"/>
          <w:szCs w:val="38"/>
          <w:highlight w:val="none"/>
        </w:rPr>
      </w:pPr>
    </w:p>
    <w:p w14:paraId="6D05ED58">
      <w:pPr>
        <w:spacing w:before="163" w:line="389" w:lineRule="exact"/>
        <w:jc w:val="center"/>
        <w:outlineLvl w:val="0"/>
        <w:rPr>
          <w:rFonts w:hint="eastAsia" w:ascii="仿宋" w:hAnsi="仿宋" w:eastAsia="仿宋" w:cs="仿宋"/>
          <w:color w:val="auto"/>
          <w:sz w:val="38"/>
          <w:szCs w:val="38"/>
          <w:highlight w:val="none"/>
        </w:rPr>
      </w:pPr>
      <w:r>
        <w:rPr>
          <w:rFonts w:hint="eastAsia" w:ascii="仿宋" w:hAnsi="仿宋" w:eastAsia="仿宋" w:cs="仿宋"/>
          <w:color w:val="auto"/>
          <w:spacing w:val="3"/>
          <w:position w:val="-1"/>
          <w:sz w:val="38"/>
          <w:szCs w:val="38"/>
          <w:highlight w:val="none"/>
        </w:rPr>
        <w:t>第五部分 框架协议(</w:t>
      </w:r>
      <w:r>
        <w:rPr>
          <w:rFonts w:hint="eastAsia" w:ascii="仿宋" w:hAnsi="仿宋" w:eastAsia="仿宋" w:cs="仿宋"/>
          <w:color w:val="auto"/>
          <w:spacing w:val="3"/>
          <w:position w:val="-1"/>
          <w:sz w:val="38"/>
          <w:szCs w:val="38"/>
          <w:highlight w:val="none"/>
          <w:lang w:val="en-US" w:eastAsia="zh-CN"/>
        </w:rPr>
        <w:t>参考</w:t>
      </w:r>
      <w:r>
        <w:rPr>
          <w:rFonts w:hint="eastAsia" w:ascii="仿宋" w:hAnsi="仿宋" w:eastAsia="仿宋" w:cs="仿宋"/>
          <w:color w:val="auto"/>
          <w:spacing w:val="3"/>
          <w:position w:val="-1"/>
          <w:sz w:val="38"/>
          <w:szCs w:val="38"/>
          <w:highlight w:val="none"/>
        </w:rPr>
        <w:t>)</w:t>
      </w:r>
    </w:p>
    <w:p w14:paraId="6D06E16C">
      <w:pPr>
        <w:spacing w:before="121" w:line="227" w:lineRule="auto"/>
        <w:ind w:left="2281"/>
        <w:rPr>
          <w:rFonts w:hint="eastAsia" w:ascii="仿宋" w:hAnsi="仿宋" w:eastAsia="仿宋" w:cs="仿宋"/>
          <w:color w:val="auto"/>
          <w:sz w:val="19"/>
          <w:szCs w:val="19"/>
          <w:highlight w:val="none"/>
        </w:rPr>
      </w:pPr>
      <w:r>
        <w:rPr>
          <w:rFonts w:hint="eastAsia" w:ascii="仿宋" w:hAnsi="仿宋" w:eastAsia="仿宋" w:cs="仿宋"/>
          <w:color w:val="auto"/>
          <w:spacing w:val="13"/>
          <w:sz w:val="19"/>
          <w:szCs w:val="19"/>
          <w:highlight w:val="none"/>
        </w:rPr>
        <w:t>框架协议 （本协议仅供参考，</w:t>
      </w:r>
      <w:r>
        <w:rPr>
          <w:rFonts w:hint="eastAsia" w:ascii="仿宋" w:hAnsi="仿宋" w:eastAsia="仿宋" w:cs="仿宋"/>
          <w:color w:val="auto"/>
          <w:spacing w:val="-21"/>
          <w:sz w:val="19"/>
          <w:szCs w:val="19"/>
          <w:highlight w:val="none"/>
        </w:rPr>
        <w:t xml:space="preserve"> </w:t>
      </w:r>
      <w:r>
        <w:rPr>
          <w:rFonts w:hint="eastAsia" w:ascii="仿宋" w:hAnsi="仿宋" w:eastAsia="仿宋" w:cs="仿宋"/>
          <w:color w:val="auto"/>
          <w:spacing w:val="13"/>
          <w:sz w:val="19"/>
          <w:szCs w:val="19"/>
          <w:highlight w:val="none"/>
        </w:rPr>
        <w:t>以后期签订为准）</w:t>
      </w:r>
    </w:p>
    <w:p w14:paraId="0561C5CB">
      <w:pPr>
        <w:spacing w:before="172" w:line="227" w:lineRule="auto"/>
        <w:ind w:left="7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甲方 （征集人</w:t>
      </w:r>
      <w:r>
        <w:rPr>
          <w:rFonts w:hint="eastAsia" w:ascii="仿宋" w:hAnsi="仿宋" w:eastAsia="仿宋" w:cs="仿宋"/>
          <w:color w:val="auto"/>
          <w:spacing w:val="-11"/>
          <w:sz w:val="23"/>
          <w:szCs w:val="23"/>
          <w:highlight w:val="none"/>
        </w:rPr>
        <w:t>）：</w:t>
      </w:r>
    </w:p>
    <w:p w14:paraId="411EF272">
      <w:pPr>
        <w:spacing w:before="181" w:line="227" w:lineRule="auto"/>
        <w:ind w:left="56"/>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乙方 （入围供应商</w:t>
      </w:r>
      <w:r>
        <w:rPr>
          <w:rFonts w:hint="eastAsia" w:ascii="仿宋" w:hAnsi="仿宋" w:eastAsia="仿宋" w:cs="仿宋"/>
          <w:color w:val="auto"/>
          <w:spacing w:val="-11"/>
          <w:sz w:val="23"/>
          <w:szCs w:val="23"/>
          <w:highlight w:val="none"/>
        </w:rPr>
        <w:t>）：</w:t>
      </w:r>
    </w:p>
    <w:p w14:paraId="7B4772CE">
      <w:pPr>
        <w:pStyle w:val="4"/>
        <w:spacing w:line="370" w:lineRule="auto"/>
        <w:rPr>
          <w:rFonts w:hint="eastAsia" w:ascii="仿宋" w:hAnsi="仿宋" w:eastAsia="仿宋" w:cs="仿宋"/>
          <w:color w:val="auto"/>
          <w:highlight w:val="none"/>
        </w:rPr>
      </w:pPr>
    </w:p>
    <w:p w14:paraId="6ABC34DA">
      <w:pPr>
        <w:spacing w:before="75" w:line="364" w:lineRule="auto"/>
        <w:ind w:left="13" w:firstLine="475"/>
        <w:jc w:val="both"/>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根据</w:t>
      </w:r>
      <w:r>
        <w:rPr>
          <w:rFonts w:hint="eastAsia" w:ascii="仿宋" w:hAnsi="仿宋" w:eastAsia="仿宋" w:cs="仿宋"/>
          <w:color w:val="auto"/>
          <w:spacing w:val="-23"/>
          <w:sz w:val="23"/>
          <w:szCs w:val="23"/>
          <w:highlight w:val="none"/>
        </w:rPr>
        <w:t xml:space="preserve"> </w:t>
      </w:r>
      <w:r>
        <w:rPr>
          <w:rFonts w:hint="eastAsia" w:ascii="仿宋" w:hAnsi="仿宋" w:eastAsia="仿宋" w:cs="仿宋"/>
          <w:color w:val="auto"/>
          <w:spacing w:val="5"/>
          <w:sz w:val="23"/>
          <w:szCs w:val="23"/>
          <w:highlight w:val="none"/>
        </w:rPr>
        <w:t>《中华人民共和国政府采购法》 、《政府采购框架协议采购方式管理暂行办》</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8"/>
          <w:sz w:val="23"/>
          <w:szCs w:val="23"/>
          <w:highlight w:val="none"/>
        </w:rPr>
        <w:t>等相关法律，按照征集文件约定的事项以及协议乙方的响应文</w:t>
      </w:r>
      <w:r>
        <w:rPr>
          <w:rFonts w:hint="eastAsia" w:ascii="仿宋" w:hAnsi="仿宋" w:eastAsia="仿宋" w:cs="仿宋"/>
          <w:color w:val="auto"/>
          <w:spacing w:val="7"/>
          <w:sz w:val="23"/>
          <w:szCs w:val="23"/>
          <w:highlight w:val="none"/>
        </w:rPr>
        <w:t>件及其承诺，协议甲乙双</w:t>
      </w:r>
      <w:r>
        <w:rPr>
          <w:rFonts w:hint="eastAsia" w:ascii="仿宋" w:hAnsi="仿宋" w:eastAsia="仿宋" w:cs="仿宋"/>
          <w:color w:val="auto"/>
          <w:spacing w:val="5"/>
          <w:sz w:val="23"/>
          <w:szCs w:val="23"/>
          <w:highlight w:val="none"/>
        </w:rPr>
        <w:t>方签订框架协议。</w:t>
      </w:r>
    </w:p>
    <w:p w14:paraId="7CC093D7">
      <w:pPr>
        <w:pStyle w:val="4"/>
        <w:spacing w:line="290" w:lineRule="auto"/>
        <w:rPr>
          <w:rFonts w:hint="eastAsia" w:ascii="仿宋" w:hAnsi="仿宋" w:eastAsia="仿宋" w:cs="仿宋"/>
          <w:color w:val="auto"/>
          <w:highlight w:val="none"/>
        </w:rPr>
      </w:pPr>
    </w:p>
    <w:p w14:paraId="07A4AA28">
      <w:pPr>
        <w:spacing w:before="104" w:line="173" w:lineRule="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第一条</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6"/>
          <w:sz w:val="24"/>
          <w:szCs w:val="24"/>
          <w:highlight w:val="none"/>
        </w:rPr>
        <w:t>项目基本信息</w:t>
      </w:r>
    </w:p>
    <w:p w14:paraId="4A776CC2">
      <w:pPr>
        <w:spacing w:before="179" w:line="485" w:lineRule="exact"/>
        <w:ind w:left="525"/>
        <w:rPr>
          <w:rFonts w:hint="eastAsia" w:ascii="仿宋" w:hAnsi="仿宋" w:eastAsia="仿宋" w:cs="仿宋"/>
          <w:color w:val="auto"/>
          <w:sz w:val="23"/>
          <w:szCs w:val="23"/>
          <w:highlight w:val="none"/>
        </w:rPr>
      </w:pPr>
      <w:r>
        <w:rPr>
          <w:rFonts w:hint="eastAsia" w:ascii="仿宋" w:hAnsi="仿宋" w:eastAsia="仿宋" w:cs="仿宋"/>
          <w:color w:val="auto"/>
          <w:position w:val="18"/>
          <w:sz w:val="23"/>
          <w:szCs w:val="23"/>
          <w:highlight w:val="none"/>
        </w:rPr>
        <w:t>1.项目名称：</w:t>
      </w:r>
    </w:p>
    <w:p w14:paraId="7E1417BA">
      <w:pPr>
        <w:spacing w:line="227" w:lineRule="auto"/>
        <w:ind w:left="494"/>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2.项目编号</w:t>
      </w:r>
    </w:p>
    <w:p w14:paraId="1AB7488F">
      <w:pPr>
        <w:spacing w:before="184" w:line="227" w:lineRule="auto"/>
        <w:ind w:left="498"/>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3.采购需求：</w:t>
      </w:r>
    </w:p>
    <w:p w14:paraId="5AAEE218">
      <w:pPr>
        <w:spacing w:before="185" w:line="227" w:lineRule="auto"/>
        <w:ind w:left="12" w:firstLine="464" w:firstLineChars="200"/>
        <w:rPr>
          <w:rFonts w:hint="eastAsia" w:ascii="仿宋" w:hAnsi="仿宋" w:eastAsia="仿宋" w:cs="仿宋"/>
          <w:color w:val="auto"/>
          <w:sz w:val="23"/>
          <w:szCs w:val="23"/>
          <w:highlight w:val="none"/>
          <w:lang w:eastAsia="zh-CN"/>
        </w:rPr>
      </w:pPr>
      <w:r>
        <w:rPr>
          <w:rFonts w:hint="eastAsia" w:ascii="仿宋" w:hAnsi="仿宋" w:eastAsia="仿宋" w:cs="仿宋"/>
          <w:color w:val="auto"/>
          <w:spacing w:val="1"/>
          <w:sz w:val="23"/>
          <w:szCs w:val="23"/>
          <w:highlight w:val="none"/>
        </w:rPr>
        <w:t>4.框架协议期限：</w:t>
      </w:r>
      <w:r>
        <w:rPr>
          <w:rFonts w:hint="eastAsia" w:ascii="仿宋" w:hAnsi="仿宋" w:eastAsia="仿宋" w:cs="仿宋"/>
          <w:color w:val="auto"/>
          <w:spacing w:val="1"/>
          <w:sz w:val="23"/>
          <w:szCs w:val="23"/>
          <w:highlight w:val="none"/>
          <w:lang w:eastAsia="zh-CN"/>
        </w:rPr>
        <w:t>（</w:t>
      </w:r>
      <w:r>
        <w:rPr>
          <w:rFonts w:hint="eastAsia" w:ascii="仿宋" w:hAnsi="仿宋" w:eastAsia="仿宋" w:cs="仿宋"/>
          <w:color w:val="auto"/>
          <w:spacing w:val="1"/>
          <w:sz w:val="23"/>
          <w:szCs w:val="23"/>
          <w:highlight w:val="none"/>
          <w:lang w:val="en-US" w:eastAsia="zh-CN"/>
        </w:rPr>
        <w:t>具体时间以签订合同为准</w:t>
      </w:r>
      <w:r>
        <w:rPr>
          <w:rFonts w:hint="eastAsia" w:ascii="仿宋" w:hAnsi="仿宋" w:eastAsia="仿宋" w:cs="仿宋"/>
          <w:color w:val="auto"/>
          <w:spacing w:val="1"/>
          <w:sz w:val="23"/>
          <w:szCs w:val="23"/>
          <w:highlight w:val="none"/>
          <w:lang w:eastAsia="zh-CN"/>
        </w:rPr>
        <w:t>）</w:t>
      </w:r>
    </w:p>
    <w:p w14:paraId="1C3EF2A9">
      <w:pPr>
        <w:spacing w:before="155" w:line="166" w:lineRule="auto"/>
        <w:rPr>
          <w:rFonts w:hint="eastAsia" w:ascii="仿宋" w:hAnsi="仿宋" w:eastAsia="仿宋" w:cs="仿宋"/>
          <w:color w:val="auto"/>
          <w:sz w:val="25"/>
          <w:szCs w:val="25"/>
          <w:highlight w:val="none"/>
        </w:rPr>
      </w:pPr>
      <w:r>
        <w:rPr>
          <w:rFonts w:hint="eastAsia" w:ascii="仿宋" w:hAnsi="仿宋" w:eastAsia="仿宋" w:cs="仿宋"/>
          <w:color w:val="auto"/>
          <w:spacing w:val="8"/>
          <w:sz w:val="25"/>
          <w:szCs w:val="25"/>
          <w:highlight w:val="none"/>
        </w:rPr>
        <w:t>第二条框架协议信息</w:t>
      </w:r>
    </w:p>
    <w:p w14:paraId="39DF0E4A">
      <w:pPr>
        <w:spacing w:before="180" w:line="485" w:lineRule="exact"/>
        <w:ind w:left="525"/>
        <w:rPr>
          <w:rFonts w:hint="eastAsia" w:ascii="仿宋" w:hAnsi="仿宋" w:eastAsia="仿宋" w:cs="仿宋"/>
          <w:color w:val="auto"/>
          <w:sz w:val="23"/>
          <w:szCs w:val="23"/>
          <w:highlight w:val="none"/>
        </w:rPr>
      </w:pPr>
      <w:r>
        <w:rPr>
          <w:rFonts w:hint="eastAsia" w:ascii="仿宋" w:hAnsi="仿宋" w:eastAsia="仿宋" w:cs="仿宋"/>
          <w:color w:val="auto"/>
          <w:spacing w:val="5"/>
          <w:position w:val="19"/>
          <w:sz w:val="23"/>
          <w:szCs w:val="23"/>
          <w:highlight w:val="none"/>
        </w:rPr>
        <w:t>1.服务内容、服务标准、协议价格</w:t>
      </w:r>
    </w:p>
    <w:p w14:paraId="7AA3DBF3">
      <w:pPr>
        <w:spacing w:before="1"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w:t>
      </w:r>
      <w:r>
        <w:rPr>
          <w:rFonts w:hint="eastAsia" w:ascii="仿宋" w:hAnsi="仿宋" w:eastAsia="仿宋" w:cs="仿宋"/>
          <w:color w:val="auto"/>
          <w:spacing w:val="65"/>
          <w:sz w:val="23"/>
          <w:szCs w:val="23"/>
          <w:highlight w:val="none"/>
        </w:rPr>
        <w:t xml:space="preserve"> </w:t>
      </w:r>
      <w:r>
        <w:rPr>
          <w:rFonts w:hint="eastAsia" w:ascii="仿宋" w:hAnsi="仿宋" w:eastAsia="仿宋" w:cs="仿宋"/>
          <w:color w:val="auto"/>
          <w:spacing w:val="-5"/>
          <w:sz w:val="23"/>
          <w:szCs w:val="23"/>
          <w:highlight w:val="none"/>
        </w:rPr>
        <w:t>1 服务内容：</w:t>
      </w:r>
    </w:p>
    <w:p w14:paraId="770D2A2D">
      <w:pPr>
        <w:spacing w:before="185"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1.</w:t>
      </w:r>
      <w:r>
        <w:rPr>
          <w:rFonts w:hint="eastAsia" w:ascii="仿宋" w:hAnsi="仿宋" w:eastAsia="仿宋" w:cs="仿宋"/>
          <w:color w:val="auto"/>
          <w:spacing w:val="35"/>
          <w:sz w:val="23"/>
          <w:szCs w:val="23"/>
          <w:highlight w:val="none"/>
        </w:rPr>
        <w:t xml:space="preserve"> </w:t>
      </w:r>
      <w:r>
        <w:rPr>
          <w:rFonts w:hint="eastAsia" w:ascii="仿宋" w:hAnsi="仿宋" w:eastAsia="仿宋" w:cs="仿宋"/>
          <w:color w:val="auto"/>
          <w:spacing w:val="-2"/>
          <w:sz w:val="23"/>
          <w:szCs w:val="23"/>
          <w:highlight w:val="none"/>
        </w:rPr>
        <w:t>2 服务标准：</w:t>
      </w:r>
    </w:p>
    <w:p w14:paraId="189A97FA">
      <w:pPr>
        <w:spacing w:before="163" w:line="485" w:lineRule="exact"/>
        <w:ind w:left="512"/>
        <w:rPr>
          <w:rFonts w:hint="eastAsia" w:ascii="仿宋" w:hAnsi="仿宋" w:eastAsia="仿宋" w:cs="仿宋"/>
          <w:color w:val="auto"/>
          <w:sz w:val="23"/>
          <w:szCs w:val="23"/>
          <w:highlight w:val="none"/>
        </w:rPr>
      </w:pPr>
      <w:r>
        <w:rPr>
          <w:rFonts w:hint="eastAsia" w:ascii="仿宋" w:hAnsi="仿宋" w:eastAsia="仿宋" w:cs="仿宋"/>
          <w:color w:val="auto"/>
          <w:spacing w:val="8"/>
          <w:position w:val="19"/>
          <w:sz w:val="23"/>
          <w:szCs w:val="23"/>
          <w:highlight w:val="none"/>
        </w:rPr>
        <w:t>（1）供应商要严格遵守国家的法律、法规和有关规章制度，严格遵守行为准则和</w:t>
      </w:r>
    </w:p>
    <w:p w14:paraId="44B7088D">
      <w:pPr>
        <w:spacing w:line="227" w:lineRule="auto"/>
        <w:ind w:left="12"/>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职业道德，按现行的财政项目审核操作规程及质量控制规定开展工作。</w:t>
      </w:r>
    </w:p>
    <w:p w14:paraId="2A48FF95">
      <w:pPr>
        <w:spacing w:before="166" w:line="484" w:lineRule="exact"/>
        <w:ind w:left="512"/>
        <w:rPr>
          <w:rFonts w:hint="eastAsia" w:ascii="仿宋" w:hAnsi="仿宋" w:eastAsia="仿宋" w:cs="仿宋"/>
          <w:color w:val="auto"/>
          <w:sz w:val="23"/>
          <w:szCs w:val="23"/>
          <w:highlight w:val="none"/>
        </w:rPr>
      </w:pPr>
      <w:r>
        <w:rPr>
          <w:rFonts w:hint="eastAsia" w:ascii="仿宋" w:hAnsi="仿宋" w:eastAsia="仿宋" w:cs="仿宋"/>
          <w:color w:val="auto"/>
          <w:spacing w:val="8"/>
          <w:position w:val="19"/>
          <w:sz w:val="23"/>
          <w:szCs w:val="23"/>
          <w:highlight w:val="none"/>
        </w:rPr>
        <w:t>（2）供应商对成果文件应实行复核人、项目负责人、技术负责人“三级复核</w:t>
      </w:r>
      <w:r>
        <w:rPr>
          <w:rFonts w:hint="eastAsia" w:ascii="仿宋" w:hAnsi="仿宋" w:eastAsia="仿宋" w:cs="仿宋"/>
          <w:color w:val="auto"/>
          <w:spacing w:val="-36"/>
          <w:position w:val="19"/>
          <w:sz w:val="23"/>
          <w:szCs w:val="23"/>
          <w:highlight w:val="none"/>
        </w:rPr>
        <w:t xml:space="preserve"> </w:t>
      </w:r>
      <w:r>
        <w:rPr>
          <w:rFonts w:hint="eastAsia" w:ascii="仿宋" w:hAnsi="仿宋" w:eastAsia="仿宋" w:cs="仿宋"/>
          <w:color w:val="auto"/>
          <w:spacing w:val="8"/>
          <w:position w:val="19"/>
          <w:sz w:val="23"/>
          <w:szCs w:val="23"/>
          <w:highlight w:val="none"/>
        </w:rPr>
        <w:t>”。</w:t>
      </w:r>
    </w:p>
    <w:p w14:paraId="3302AA96">
      <w:pPr>
        <w:spacing w:before="1" w:line="226" w:lineRule="auto"/>
        <w:jc w:val="right"/>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应依照相关依据发表专业意见出具成果文件，并对成果的真实性、完整性、</w:t>
      </w:r>
      <w:r>
        <w:rPr>
          <w:rFonts w:hint="eastAsia" w:ascii="仿宋" w:hAnsi="仿宋" w:eastAsia="仿宋" w:cs="仿宋"/>
          <w:color w:val="auto"/>
          <w:spacing w:val="2"/>
          <w:sz w:val="23"/>
          <w:szCs w:val="23"/>
          <w:highlight w:val="none"/>
        </w:rPr>
        <w:t>准确性负责。</w:t>
      </w:r>
    </w:p>
    <w:p w14:paraId="3927D973">
      <w:pPr>
        <w:spacing w:before="205" w:line="365" w:lineRule="auto"/>
        <w:ind w:left="13" w:right="115" w:firstLine="499"/>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（3）各类审核报告编制标准审核内容完整、数据准确、依据充分，审核</w:t>
      </w:r>
      <w:r>
        <w:rPr>
          <w:rFonts w:hint="eastAsia" w:ascii="仿宋" w:hAnsi="仿宋" w:eastAsia="仿宋" w:cs="仿宋"/>
          <w:color w:val="auto"/>
          <w:spacing w:val="4"/>
          <w:sz w:val="23"/>
          <w:szCs w:val="23"/>
          <w:highlight w:val="none"/>
        </w:rPr>
        <w:t>结论定性</w:t>
      </w:r>
      <w:r>
        <w:rPr>
          <w:rFonts w:hint="eastAsia" w:ascii="仿宋" w:hAnsi="仿宋" w:eastAsia="仿宋" w:cs="仿宋"/>
          <w:color w:val="auto"/>
          <w:spacing w:val="5"/>
          <w:sz w:val="23"/>
          <w:szCs w:val="23"/>
          <w:highlight w:val="none"/>
        </w:rPr>
        <w:t>客观、定量准确、依据充分，核增核减原因定性准</w:t>
      </w:r>
      <w:r>
        <w:rPr>
          <w:rFonts w:hint="eastAsia" w:ascii="仿宋" w:hAnsi="仿宋" w:eastAsia="仿宋" w:cs="仿宋"/>
          <w:color w:val="auto"/>
          <w:spacing w:val="4"/>
          <w:sz w:val="23"/>
          <w:szCs w:val="23"/>
          <w:highlight w:val="none"/>
        </w:rPr>
        <w:t>确、条理清晰，披露审核问题有理有</w:t>
      </w:r>
      <w:r>
        <w:rPr>
          <w:rFonts w:hint="eastAsia" w:ascii="仿宋" w:hAnsi="仿宋" w:eastAsia="仿宋" w:cs="仿宋"/>
          <w:color w:val="auto"/>
          <w:spacing w:val="7"/>
          <w:sz w:val="23"/>
          <w:szCs w:val="23"/>
          <w:highlight w:val="none"/>
        </w:rPr>
        <w:t>据、分析透彻，提出审核建议措施具体、针对性强。</w:t>
      </w:r>
    </w:p>
    <w:p w14:paraId="7A7C84C1">
      <w:pPr>
        <w:spacing w:before="204" w:line="366" w:lineRule="auto"/>
        <w:ind w:left="7" w:right="172" w:firstLine="504"/>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（4）采购人将对供应商提交的审核意见和审核结论进行复审，复审结果</w:t>
      </w:r>
      <w:r>
        <w:rPr>
          <w:rFonts w:hint="eastAsia" w:ascii="仿宋" w:hAnsi="仿宋" w:eastAsia="仿宋" w:cs="仿宋"/>
          <w:color w:val="auto"/>
          <w:spacing w:val="4"/>
          <w:sz w:val="23"/>
          <w:szCs w:val="23"/>
          <w:highlight w:val="none"/>
        </w:rPr>
        <w:t>因供应商</w:t>
      </w:r>
      <w:r>
        <w:rPr>
          <w:rFonts w:hint="eastAsia" w:ascii="仿宋" w:hAnsi="仿宋" w:eastAsia="仿宋" w:cs="仿宋"/>
          <w:color w:val="auto"/>
          <w:spacing w:val="9"/>
          <w:sz w:val="23"/>
          <w:szCs w:val="23"/>
          <w:highlight w:val="none"/>
        </w:rPr>
        <w:t>造成严重质量问题时，采购人不支付该项目的审核费用，供应商必须承担由此造成的</w:t>
      </w:r>
      <w:r>
        <w:rPr>
          <w:rFonts w:hint="eastAsia" w:ascii="仿宋" w:hAnsi="仿宋" w:eastAsia="仿宋" w:cs="仿宋"/>
          <w:color w:val="auto"/>
          <w:spacing w:val="7"/>
          <w:sz w:val="23"/>
          <w:szCs w:val="23"/>
          <w:highlight w:val="none"/>
        </w:rPr>
        <w:t>全部经济和法律责任。</w:t>
      </w:r>
    </w:p>
    <w:p w14:paraId="2F77FCEE">
      <w:pPr>
        <w:spacing w:before="166" w:line="482" w:lineRule="exact"/>
        <w:ind w:left="512"/>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（5）供应商提交成果误差不超过正负3%。采购人</w:t>
      </w:r>
      <w:r>
        <w:rPr>
          <w:rFonts w:hint="eastAsia" w:ascii="仿宋" w:hAnsi="仿宋" w:eastAsia="仿宋" w:cs="仿宋"/>
          <w:color w:val="auto"/>
          <w:spacing w:val="7"/>
          <w:position w:val="18"/>
          <w:sz w:val="23"/>
          <w:szCs w:val="23"/>
          <w:highlight w:val="none"/>
        </w:rPr>
        <w:t>对供应商递交的审核意见和审核</w:t>
      </w:r>
    </w:p>
    <w:p w14:paraId="3F184007">
      <w:pPr>
        <w:spacing w:before="1" w:line="226" w:lineRule="auto"/>
        <w:ind w:left="21"/>
        <w:rPr>
          <w:rFonts w:hint="eastAsia" w:ascii="仿宋" w:hAnsi="仿宋" w:eastAsia="仿宋" w:cs="仿宋"/>
          <w:color w:val="auto"/>
          <w:sz w:val="23"/>
          <w:szCs w:val="23"/>
          <w:highlight w:val="none"/>
        </w:rPr>
        <w:sectPr>
          <w:footerReference r:id="rId13"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4"/>
          <w:sz w:val="23"/>
          <w:szCs w:val="23"/>
          <w:highlight w:val="none"/>
        </w:rPr>
        <w:t>结论（以供应商盖章的定案表为准）进行复审，复审单项项目审定额结果误差超</w:t>
      </w:r>
    </w:p>
    <w:p w14:paraId="059FA407">
      <w:pPr>
        <w:spacing w:before="75" w:line="485" w:lineRule="exact"/>
        <w:jc w:val="both"/>
        <w:rPr>
          <w:rFonts w:hint="eastAsia" w:ascii="仿宋" w:hAnsi="仿宋" w:eastAsia="仿宋" w:cs="仿宋"/>
          <w:color w:val="auto"/>
          <w:sz w:val="23"/>
          <w:szCs w:val="23"/>
          <w:highlight w:val="none"/>
        </w:rPr>
      </w:pPr>
      <w:r>
        <w:rPr>
          <w:rFonts w:hint="eastAsia" w:ascii="仿宋" w:hAnsi="仿宋" w:eastAsia="仿宋" w:cs="仿宋"/>
          <w:color w:val="auto"/>
          <w:spacing w:val="8"/>
          <w:position w:val="19"/>
          <w:sz w:val="23"/>
          <w:szCs w:val="23"/>
          <w:highlight w:val="none"/>
        </w:rPr>
        <w:t>造价的3%（含3%）时，供应商必须承担由此造成的全部经济</w:t>
      </w:r>
      <w:r>
        <w:rPr>
          <w:rFonts w:hint="eastAsia" w:ascii="仿宋" w:hAnsi="仿宋" w:eastAsia="仿宋" w:cs="仿宋"/>
          <w:color w:val="auto"/>
          <w:spacing w:val="7"/>
          <w:position w:val="19"/>
          <w:sz w:val="23"/>
          <w:szCs w:val="23"/>
          <w:highlight w:val="none"/>
        </w:rPr>
        <w:t>和法律责任，采购人不支</w:t>
      </w:r>
    </w:p>
    <w:p w14:paraId="7B10A339">
      <w:pPr>
        <w:spacing w:line="227" w:lineRule="auto"/>
        <w:ind w:left="8"/>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付该单项项目的审核费用。</w:t>
      </w:r>
    </w:p>
    <w:p w14:paraId="266E2579">
      <w:pPr>
        <w:numPr>
          <w:ilvl w:val="0"/>
          <w:numId w:val="0"/>
        </w:numPr>
        <w:spacing w:before="203" w:line="370" w:lineRule="auto"/>
        <w:ind w:left="21" w:leftChars="0" w:right="2" w:rightChars="0"/>
        <w:jc w:val="both"/>
        <w:rPr>
          <w:rFonts w:hint="eastAsia" w:ascii="仿宋" w:hAnsi="仿宋" w:eastAsia="仿宋" w:cs="仿宋"/>
          <w:color w:val="auto"/>
          <w:sz w:val="23"/>
          <w:szCs w:val="23"/>
          <w:highlight w:val="none"/>
        </w:rPr>
      </w:pPr>
      <w:r>
        <w:rPr>
          <w:rFonts w:hint="eastAsia" w:ascii="仿宋" w:hAnsi="仿宋" w:eastAsia="仿宋" w:cs="仿宋"/>
          <w:color w:val="auto"/>
          <w:spacing w:val="11"/>
          <w:sz w:val="23"/>
          <w:szCs w:val="23"/>
          <w:highlight w:val="none"/>
          <w:lang w:eastAsia="zh-CN"/>
        </w:rPr>
        <w:t>（</w:t>
      </w:r>
      <w:r>
        <w:rPr>
          <w:rFonts w:hint="eastAsia" w:ascii="仿宋" w:hAnsi="仿宋" w:eastAsia="仿宋" w:cs="仿宋"/>
          <w:color w:val="auto"/>
          <w:spacing w:val="11"/>
          <w:sz w:val="23"/>
          <w:szCs w:val="23"/>
          <w:highlight w:val="none"/>
          <w:lang w:val="en-US" w:eastAsia="zh-CN"/>
        </w:rPr>
        <w:t>6</w:t>
      </w:r>
      <w:r>
        <w:rPr>
          <w:rFonts w:hint="eastAsia" w:ascii="仿宋" w:hAnsi="仿宋" w:eastAsia="仿宋" w:cs="仿宋"/>
          <w:color w:val="auto"/>
          <w:spacing w:val="11"/>
          <w:sz w:val="23"/>
          <w:szCs w:val="23"/>
          <w:highlight w:val="none"/>
          <w:lang w:eastAsia="zh-CN"/>
        </w:rPr>
        <w:t>）</w:t>
      </w:r>
      <w:r>
        <w:rPr>
          <w:rFonts w:hint="eastAsia" w:ascii="仿宋" w:hAnsi="仿宋" w:eastAsia="仿宋" w:cs="仿宋"/>
          <w:color w:val="auto"/>
          <w:spacing w:val="11"/>
          <w:sz w:val="23"/>
          <w:szCs w:val="23"/>
          <w:highlight w:val="none"/>
        </w:rPr>
        <w:t>供应商递交的审核意见和审核结论经采购人、建设单位确</w:t>
      </w:r>
      <w:r>
        <w:rPr>
          <w:rFonts w:hint="eastAsia" w:ascii="仿宋" w:hAnsi="仿宋" w:eastAsia="仿宋" w:cs="仿宋"/>
          <w:color w:val="auto"/>
          <w:spacing w:val="10"/>
          <w:sz w:val="23"/>
          <w:szCs w:val="23"/>
          <w:highlight w:val="none"/>
        </w:rPr>
        <w:t>认后，在招标时若</w:t>
      </w:r>
      <w:r>
        <w:rPr>
          <w:rFonts w:hint="eastAsia" w:ascii="仿宋" w:hAnsi="仿宋" w:eastAsia="仿宋" w:cs="仿宋"/>
          <w:color w:val="auto"/>
          <w:spacing w:val="8"/>
          <w:sz w:val="23"/>
          <w:szCs w:val="23"/>
          <w:highlight w:val="none"/>
        </w:rPr>
        <w:t>由造价管理机构、招标代理机构或其他方发现审核结果存在严重错误（如漏项、漏计单价、由于小数点等原因造成工程量或单价误差较大或各表格之间的对应数据不一致且金额相差大等</w:t>
      </w:r>
      <w:r>
        <w:rPr>
          <w:rFonts w:hint="eastAsia" w:ascii="仿宋" w:hAnsi="仿宋" w:eastAsia="仿宋" w:cs="仿宋"/>
          <w:color w:val="auto"/>
          <w:spacing w:val="13"/>
          <w:sz w:val="23"/>
          <w:szCs w:val="23"/>
          <w:highlight w:val="none"/>
        </w:rPr>
        <w:t>），</w:t>
      </w:r>
      <w:r>
        <w:rPr>
          <w:rFonts w:hint="eastAsia" w:ascii="仿宋" w:hAnsi="仿宋" w:eastAsia="仿宋" w:cs="仿宋"/>
          <w:color w:val="auto"/>
          <w:spacing w:val="8"/>
          <w:sz w:val="23"/>
          <w:szCs w:val="23"/>
          <w:highlight w:val="none"/>
        </w:rPr>
        <w:t>供应商必须承担由此造成的全部经济和法律责任，采购人不支付该单项</w:t>
      </w:r>
      <w:r>
        <w:rPr>
          <w:rFonts w:hint="eastAsia" w:ascii="仿宋" w:hAnsi="仿宋" w:eastAsia="仿宋" w:cs="仿宋"/>
          <w:color w:val="auto"/>
          <w:spacing w:val="5"/>
          <w:sz w:val="23"/>
          <w:szCs w:val="23"/>
          <w:highlight w:val="none"/>
        </w:rPr>
        <w:t>项目的审核费用。</w:t>
      </w:r>
    </w:p>
    <w:p w14:paraId="3D782D9E">
      <w:pPr>
        <w:spacing w:before="203" w:line="365" w:lineRule="auto"/>
        <w:ind w:right="2"/>
        <w:jc w:val="both"/>
        <w:rPr>
          <w:rFonts w:hint="eastAsia" w:ascii="仿宋" w:hAnsi="仿宋" w:eastAsia="仿宋" w:cs="仿宋"/>
          <w:color w:val="auto"/>
          <w:sz w:val="23"/>
          <w:szCs w:val="23"/>
          <w:highlight w:val="none"/>
        </w:rPr>
      </w:pPr>
      <w:r>
        <w:rPr>
          <w:rFonts w:hint="eastAsia" w:ascii="仿宋" w:hAnsi="仿宋" w:eastAsia="仿宋" w:cs="仿宋"/>
          <w:color w:val="auto"/>
          <w:spacing w:val="11"/>
          <w:sz w:val="23"/>
          <w:szCs w:val="23"/>
          <w:highlight w:val="none"/>
        </w:rPr>
        <w:t>（7）因客观原因导致己审核的项目需要重新审核的，供应商须</w:t>
      </w:r>
      <w:r>
        <w:rPr>
          <w:rFonts w:hint="eastAsia" w:ascii="仿宋" w:hAnsi="仿宋" w:eastAsia="仿宋" w:cs="仿宋"/>
          <w:color w:val="auto"/>
          <w:spacing w:val="10"/>
          <w:sz w:val="23"/>
          <w:szCs w:val="23"/>
          <w:highlight w:val="none"/>
        </w:rPr>
        <w:t>元条件配合并重新</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8"/>
          <w:sz w:val="23"/>
          <w:szCs w:val="23"/>
          <w:highlight w:val="none"/>
        </w:rPr>
        <w:t>进行审核、出具审核成果，采购人不再另行支付供应商相关费用，供应商需充分考虑该</w:t>
      </w:r>
      <w:r>
        <w:rPr>
          <w:rFonts w:hint="eastAsia" w:ascii="仿宋" w:hAnsi="仿宋" w:eastAsia="仿宋" w:cs="仿宋"/>
          <w:color w:val="auto"/>
          <w:spacing w:val="1"/>
          <w:sz w:val="23"/>
          <w:szCs w:val="23"/>
          <w:highlight w:val="none"/>
        </w:rPr>
        <w:t>因素进行响应</w:t>
      </w:r>
      <w:r>
        <w:rPr>
          <w:rFonts w:hint="eastAsia" w:ascii="仿宋" w:hAnsi="仿宋" w:eastAsia="仿宋" w:cs="仿宋"/>
          <w:color w:val="auto"/>
          <w:spacing w:val="1"/>
          <w:sz w:val="23"/>
          <w:szCs w:val="23"/>
          <w:highlight w:val="none"/>
          <w:lang w:eastAsia="zh-CN"/>
        </w:rPr>
        <w:t>。</w:t>
      </w:r>
    </w:p>
    <w:p w14:paraId="5CD829FD">
      <w:pPr>
        <w:spacing w:before="179" w:line="226" w:lineRule="auto"/>
        <w:ind w:left="494"/>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2.合同价格形式：固定价格。</w:t>
      </w:r>
    </w:p>
    <w:p w14:paraId="1BB1B292">
      <w:pPr>
        <w:spacing w:before="168" w:line="484" w:lineRule="exact"/>
        <w:ind w:left="498"/>
        <w:rPr>
          <w:rFonts w:hint="eastAsia" w:ascii="仿宋" w:hAnsi="仿宋" w:eastAsia="仿宋" w:cs="仿宋"/>
          <w:color w:val="auto"/>
          <w:sz w:val="23"/>
          <w:szCs w:val="23"/>
          <w:highlight w:val="none"/>
          <w:lang w:eastAsia="zh-CN"/>
        </w:rPr>
      </w:pPr>
      <w:r>
        <w:rPr>
          <w:rFonts w:hint="eastAsia" w:ascii="仿宋" w:hAnsi="仿宋" w:eastAsia="仿宋" w:cs="仿宋"/>
          <w:color w:val="auto"/>
          <w:spacing w:val="8"/>
          <w:position w:val="18"/>
          <w:sz w:val="23"/>
          <w:szCs w:val="23"/>
          <w:highlight w:val="none"/>
        </w:rPr>
        <w:t xml:space="preserve">3. 适用框架议的征集人： </w:t>
      </w:r>
      <w:r>
        <w:rPr>
          <w:rFonts w:hint="eastAsia" w:ascii="仿宋" w:hAnsi="仿宋" w:eastAsia="仿宋" w:cs="仿宋"/>
          <w:color w:val="auto"/>
          <w:spacing w:val="8"/>
          <w:position w:val="18"/>
          <w:sz w:val="23"/>
          <w:szCs w:val="23"/>
          <w:highlight w:val="none"/>
          <w:lang w:eastAsia="zh-CN"/>
        </w:rPr>
        <w:t>阿图什市国有土地上房屋征收与补偿管理办公室</w:t>
      </w:r>
    </w:p>
    <w:p w14:paraId="6FB5C6BC">
      <w:pPr>
        <w:spacing w:before="1" w:line="226" w:lineRule="auto"/>
        <w:ind w:left="487"/>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4. 履行合同的地域范围：采购人指定地点</w:t>
      </w:r>
    </w:p>
    <w:p w14:paraId="27524629">
      <w:pPr>
        <w:spacing w:before="156" w:line="166" w:lineRule="auto"/>
        <w:rPr>
          <w:rFonts w:hint="eastAsia" w:ascii="仿宋" w:hAnsi="仿宋" w:eastAsia="仿宋" w:cs="仿宋"/>
          <w:color w:val="auto"/>
          <w:sz w:val="25"/>
          <w:szCs w:val="25"/>
          <w:highlight w:val="none"/>
        </w:rPr>
      </w:pPr>
      <w:r>
        <w:rPr>
          <w:rFonts w:hint="eastAsia" w:ascii="仿宋" w:hAnsi="仿宋" w:eastAsia="仿宋" w:cs="仿宋"/>
          <w:color w:val="auto"/>
          <w:spacing w:val="1"/>
          <w:sz w:val="25"/>
          <w:szCs w:val="25"/>
          <w:highlight w:val="none"/>
        </w:rPr>
        <w:t>第三条确定第二阶段成交供应商约方式</w:t>
      </w:r>
    </w:p>
    <w:p w14:paraId="6FFD2EC4">
      <w:pPr>
        <w:spacing w:before="198"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 xml:space="preserve">1.  采购人在入围供应商中通过 </w:t>
      </w:r>
      <w:r>
        <w:rPr>
          <w:rFonts w:hint="eastAsia" w:ascii="仿宋" w:hAnsi="仿宋" w:eastAsia="仿宋" w:cs="仿宋"/>
          <w:color w:val="auto"/>
          <w:spacing w:val="7"/>
          <w:sz w:val="23"/>
          <w:szCs w:val="23"/>
          <w:highlight w:val="none"/>
          <w:u w:val="single" w:color="auto"/>
        </w:rPr>
        <w:t>直接选定</w:t>
      </w:r>
      <w:r>
        <w:rPr>
          <w:rFonts w:hint="eastAsia" w:ascii="仿宋" w:hAnsi="仿宋" w:eastAsia="仿宋" w:cs="仿宋"/>
          <w:color w:val="auto"/>
          <w:spacing w:val="7"/>
          <w:sz w:val="23"/>
          <w:szCs w:val="23"/>
          <w:highlight w:val="none"/>
        </w:rPr>
        <w:t>方式确定成交供应商并签订合同。</w:t>
      </w:r>
    </w:p>
    <w:p w14:paraId="3EF4C678">
      <w:pPr>
        <w:spacing w:before="167" w:line="485" w:lineRule="exact"/>
        <w:ind w:left="574"/>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(1)直接选定，依据入围产品价格、质量以及服务便利性、</w:t>
      </w:r>
      <w:r>
        <w:rPr>
          <w:rFonts w:hint="eastAsia" w:ascii="仿宋" w:hAnsi="仿宋" w:eastAsia="仿宋" w:cs="仿宋"/>
          <w:color w:val="auto"/>
          <w:spacing w:val="6"/>
          <w:position w:val="19"/>
          <w:sz w:val="23"/>
          <w:szCs w:val="23"/>
          <w:highlight w:val="none"/>
        </w:rPr>
        <w:t>用户评价等因素，从入</w:t>
      </w:r>
    </w:p>
    <w:p w14:paraId="4A3E2BFA">
      <w:pPr>
        <w:spacing w:line="226" w:lineRule="auto"/>
        <w:ind w:left="52"/>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围供商中直接选定成交供应商。</w:t>
      </w:r>
    </w:p>
    <w:p w14:paraId="43A8F312">
      <w:pPr>
        <w:spacing w:before="181" w:line="226" w:lineRule="auto"/>
        <w:ind w:left="574"/>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(2)二次竞价</w:t>
      </w:r>
    </w:p>
    <w:p w14:paraId="362B30E7">
      <w:pPr>
        <w:spacing w:before="206" w:line="366" w:lineRule="auto"/>
        <w:ind w:left="35" w:right="14" w:firstLine="46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二次竞价规则：协议方乙方以第一阶段的响应报价（</w:t>
      </w:r>
      <w:r>
        <w:rPr>
          <w:rFonts w:hint="eastAsia" w:ascii="仿宋" w:hAnsi="仿宋" w:eastAsia="仿宋" w:cs="仿宋"/>
          <w:color w:val="auto"/>
          <w:spacing w:val="7"/>
          <w:sz w:val="23"/>
          <w:szCs w:val="23"/>
          <w:highlight w:val="none"/>
        </w:rPr>
        <w:t>协议价格）为最高限价，依照响应文件中承诺的入围产品（服务）、采购合同等事项，根据采购人明确的竞价需求，参与二次竞价，以报价最低的为成交供应商。</w:t>
      </w:r>
    </w:p>
    <w:p w14:paraId="7952D969">
      <w:pPr>
        <w:spacing w:before="167" w:line="485" w:lineRule="exact"/>
        <w:ind w:left="497"/>
        <w:rPr>
          <w:rFonts w:hint="eastAsia" w:ascii="仿宋" w:hAnsi="仿宋" w:eastAsia="仿宋" w:cs="仿宋"/>
          <w:color w:val="auto"/>
          <w:sz w:val="23"/>
          <w:szCs w:val="23"/>
          <w:highlight w:val="none"/>
        </w:rPr>
      </w:pPr>
      <w:r>
        <w:rPr>
          <w:rFonts w:hint="eastAsia" w:ascii="仿宋" w:hAnsi="仿宋" w:eastAsia="仿宋" w:cs="仿宋"/>
          <w:color w:val="auto"/>
          <w:spacing w:val="-4"/>
          <w:position w:val="19"/>
          <w:sz w:val="23"/>
          <w:szCs w:val="23"/>
          <w:highlight w:val="none"/>
        </w:rPr>
        <w:t>二次竞价截止时间： /</w:t>
      </w:r>
    </w:p>
    <w:p w14:paraId="6EDB0F2C">
      <w:pPr>
        <w:spacing w:before="1" w:line="225" w:lineRule="auto"/>
        <w:ind w:left="497"/>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二次竞价需求：/</w:t>
      </w:r>
    </w:p>
    <w:p w14:paraId="5703CE2A">
      <w:pPr>
        <w:spacing w:before="185" w:line="227" w:lineRule="auto"/>
        <w:ind w:left="512"/>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（3）顺序轮候</w:t>
      </w:r>
    </w:p>
    <w:p w14:paraId="743CE271">
      <w:pPr>
        <w:spacing w:before="165" w:line="480" w:lineRule="exact"/>
        <w:ind w:left="492"/>
        <w:rPr>
          <w:rFonts w:hint="eastAsia" w:ascii="仿宋" w:hAnsi="仿宋" w:eastAsia="仿宋" w:cs="仿宋"/>
          <w:color w:val="auto"/>
          <w:sz w:val="23"/>
          <w:szCs w:val="23"/>
          <w:highlight w:val="none"/>
        </w:rPr>
      </w:pPr>
      <w:r>
        <w:rPr>
          <w:rFonts w:hint="eastAsia" w:ascii="仿宋" w:hAnsi="仿宋" w:eastAsia="仿宋" w:cs="仿宋"/>
          <w:color w:val="auto"/>
          <w:spacing w:val="9"/>
          <w:position w:val="18"/>
          <w:sz w:val="23"/>
          <w:szCs w:val="23"/>
          <w:highlight w:val="none"/>
        </w:rPr>
        <w:t>顺序轮候规则:以入围供应商从高到低排名依次进行合同授予,每个入围供应商在</w:t>
      </w:r>
    </w:p>
    <w:p w14:paraId="28BC2861">
      <w:pPr>
        <w:spacing w:before="1" w:line="224" w:lineRule="auto"/>
        <w:ind w:left="17"/>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一个顺序轮候期内,仅能获得一次合同授予的机会。</w:t>
      </w:r>
    </w:p>
    <w:p w14:paraId="77838077">
      <w:pPr>
        <w:spacing w:before="194" w:line="227" w:lineRule="auto"/>
        <w:ind w:left="612"/>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顺序轮候期： /</w:t>
      </w:r>
    </w:p>
    <w:p w14:paraId="6858FD42">
      <w:pPr>
        <w:spacing w:before="151" w:line="166" w:lineRule="auto"/>
        <w:rPr>
          <w:rFonts w:hint="eastAsia" w:ascii="仿宋" w:hAnsi="仿宋" w:eastAsia="仿宋" w:cs="仿宋"/>
          <w:color w:val="auto"/>
          <w:sz w:val="25"/>
          <w:szCs w:val="25"/>
          <w:highlight w:val="none"/>
        </w:rPr>
      </w:pPr>
      <w:r>
        <w:rPr>
          <w:rFonts w:hint="eastAsia" w:ascii="仿宋" w:hAnsi="仿宋" w:eastAsia="仿宋" w:cs="仿宋"/>
          <w:color w:val="auto"/>
          <w:spacing w:val="2"/>
          <w:sz w:val="25"/>
          <w:szCs w:val="25"/>
          <w:highlight w:val="none"/>
        </w:rPr>
        <w:t>第四条资金支付方式、时间、条件</w:t>
      </w:r>
    </w:p>
    <w:p w14:paraId="209D01D7">
      <w:pPr>
        <w:spacing w:before="181" w:line="484"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1.本项目无预付款。在完成项目审计项目工作后向委托人提交支付申请书，送采购</w:t>
      </w:r>
    </w:p>
    <w:p w14:paraId="5BBF3CF9">
      <w:pPr>
        <w:spacing w:before="1" w:line="226" w:lineRule="auto"/>
        <w:ind w:left="13"/>
        <w:rPr>
          <w:rFonts w:hint="eastAsia" w:ascii="仿宋" w:hAnsi="仿宋" w:eastAsia="仿宋" w:cs="仿宋"/>
          <w:color w:val="auto"/>
          <w:spacing w:val="3"/>
          <w:sz w:val="23"/>
          <w:szCs w:val="23"/>
          <w:highlight w:val="none"/>
        </w:rPr>
      </w:pPr>
      <w:r>
        <w:rPr>
          <w:rFonts w:hint="eastAsia" w:ascii="仿宋" w:hAnsi="仿宋" w:eastAsia="仿宋" w:cs="仿宋"/>
          <w:color w:val="auto"/>
          <w:spacing w:val="3"/>
          <w:sz w:val="23"/>
          <w:szCs w:val="23"/>
          <w:highlight w:val="none"/>
        </w:rPr>
        <w:t>人审核签认， 由采购人直接向成交供应商支付。双方账户信息如下：</w:t>
      </w:r>
    </w:p>
    <w:p w14:paraId="6ECC4428">
      <w:pPr>
        <w:spacing w:before="75" w:line="356" w:lineRule="auto"/>
        <w:ind w:firstLine="428" w:firstLineChars="200"/>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甲方名称：</w:t>
      </w:r>
      <w:r>
        <w:rPr>
          <w:rFonts w:hint="eastAsia" w:ascii="仿宋" w:hAnsi="仿宋" w:eastAsia="仿宋" w:cs="仿宋"/>
          <w:color w:val="auto"/>
          <w:sz w:val="23"/>
          <w:szCs w:val="23"/>
          <w:highlight w:val="none"/>
          <w:u w:val="single" w:color="auto"/>
        </w:rPr>
        <w:t xml:space="preserve">                                </w:t>
      </w:r>
    </w:p>
    <w:p w14:paraId="7911D9FD">
      <w:pPr>
        <w:spacing w:line="228" w:lineRule="auto"/>
        <w:ind w:firstLine="444" w:firstLineChars="200"/>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国税纳税人识别号</w:t>
      </w:r>
      <w:r>
        <w:rPr>
          <w:rFonts w:hint="eastAsia" w:ascii="仿宋" w:hAnsi="仿宋" w:eastAsia="仿宋" w:cs="仿宋"/>
          <w:color w:val="auto"/>
          <w:spacing w:val="63"/>
          <w:sz w:val="23"/>
          <w:szCs w:val="23"/>
          <w:highlight w:val="none"/>
        </w:rPr>
        <w:t xml:space="preserve"> </w:t>
      </w:r>
      <w:r>
        <w:rPr>
          <w:rFonts w:hint="eastAsia" w:ascii="仿宋" w:hAnsi="仿宋" w:eastAsia="仿宋" w:cs="仿宋"/>
          <w:color w:val="auto"/>
          <w:spacing w:val="-4"/>
          <w:sz w:val="23"/>
          <w:szCs w:val="23"/>
          <w:highlight w:val="none"/>
        </w:rPr>
        <w:t>：</w:t>
      </w:r>
      <w:r>
        <w:rPr>
          <w:rFonts w:hint="eastAsia" w:ascii="仿宋" w:hAnsi="仿宋" w:eastAsia="仿宋" w:cs="仿宋"/>
          <w:color w:val="auto"/>
          <w:sz w:val="23"/>
          <w:szCs w:val="23"/>
          <w:highlight w:val="none"/>
          <w:u w:val="single" w:color="auto"/>
        </w:rPr>
        <w:t xml:space="preserve">                      </w:t>
      </w:r>
    </w:p>
    <w:p w14:paraId="4A8E7016">
      <w:pPr>
        <w:spacing w:before="181" w:line="228" w:lineRule="auto"/>
        <w:ind w:left="492"/>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户名</w:t>
      </w:r>
      <w:r>
        <w:rPr>
          <w:rFonts w:hint="eastAsia" w:ascii="仿宋" w:hAnsi="仿宋" w:eastAsia="仿宋" w:cs="仿宋"/>
          <w:color w:val="auto"/>
          <w:spacing w:val="57"/>
          <w:sz w:val="23"/>
          <w:szCs w:val="23"/>
          <w:highlight w:val="none"/>
        </w:rPr>
        <w:t xml:space="preserve"> </w:t>
      </w:r>
      <w:r>
        <w:rPr>
          <w:rFonts w:hint="eastAsia" w:ascii="仿宋" w:hAnsi="仿宋" w:eastAsia="仿宋" w:cs="仿宋"/>
          <w:color w:val="auto"/>
          <w:spacing w:val="-9"/>
          <w:sz w:val="23"/>
          <w:szCs w:val="23"/>
          <w:highlight w:val="none"/>
        </w:rPr>
        <w:t>：</w:t>
      </w:r>
      <w:r>
        <w:rPr>
          <w:rFonts w:hint="eastAsia" w:ascii="仿宋" w:hAnsi="仿宋" w:eastAsia="仿宋" w:cs="仿宋"/>
          <w:color w:val="auto"/>
          <w:sz w:val="23"/>
          <w:szCs w:val="23"/>
          <w:highlight w:val="none"/>
          <w:u w:val="single" w:color="auto"/>
        </w:rPr>
        <w:t xml:space="preserve">                                   </w:t>
      </w:r>
    </w:p>
    <w:p w14:paraId="75D0FB5B">
      <w:pPr>
        <w:spacing w:before="183" w:line="228" w:lineRule="auto"/>
        <w:ind w:left="492"/>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开户行</w:t>
      </w:r>
      <w:r>
        <w:rPr>
          <w:rFonts w:hint="eastAsia" w:ascii="仿宋" w:hAnsi="仿宋" w:eastAsia="仿宋" w:cs="仿宋"/>
          <w:color w:val="auto"/>
          <w:spacing w:val="53"/>
          <w:sz w:val="23"/>
          <w:szCs w:val="23"/>
          <w:highlight w:val="none"/>
        </w:rPr>
        <w:t xml:space="preserve"> </w:t>
      </w:r>
      <w:r>
        <w:rPr>
          <w:rFonts w:hint="eastAsia" w:ascii="仿宋" w:hAnsi="仿宋" w:eastAsia="仿宋" w:cs="仿宋"/>
          <w:color w:val="auto"/>
          <w:spacing w:val="-8"/>
          <w:sz w:val="23"/>
          <w:szCs w:val="23"/>
          <w:highlight w:val="none"/>
        </w:rPr>
        <w:t>：</w:t>
      </w:r>
      <w:r>
        <w:rPr>
          <w:rFonts w:hint="eastAsia" w:ascii="仿宋" w:hAnsi="仿宋" w:eastAsia="仿宋" w:cs="仿宋"/>
          <w:color w:val="auto"/>
          <w:sz w:val="23"/>
          <w:szCs w:val="23"/>
          <w:highlight w:val="none"/>
          <w:u w:val="single" w:color="auto"/>
        </w:rPr>
        <w:t xml:space="preserve">                                 </w:t>
      </w:r>
    </w:p>
    <w:p w14:paraId="53B9BB7F">
      <w:pPr>
        <w:spacing w:before="181" w:line="229" w:lineRule="auto"/>
        <w:ind w:left="497"/>
        <w:rPr>
          <w:rFonts w:hint="eastAsia" w:ascii="仿宋" w:hAnsi="仿宋" w:eastAsia="仿宋" w:cs="仿宋"/>
          <w:color w:val="auto"/>
          <w:sz w:val="23"/>
          <w:szCs w:val="23"/>
          <w:highlight w:val="none"/>
        </w:rPr>
      </w:pPr>
      <w:r>
        <w:rPr>
          <w:rFonts w:hint="eastAsia" w:ascii="仿宋" w:hAnsi="仿宋" w:eastAsia="仿宋" w:cs="仿宋"/>
          <w:color w:val="auto"/>
          <w:spacing w:val="-15"/>
          <w:sz w:val="23"/>
          <w:szCs w:val="23"/>
          <w:highlight w:val="none"/>
        </w:rPr>
        <w:t>账号</w:t>
      </w:r>
      <w:r>
        <w:rPr>
          <w:rFonts w:hint="eastAsia" w:ascii="仿宋" w:hAnsi="仿宋" w:eastAsia="仿宋" w:cs="仿宋"/>
          <w:color w:val="auto"/>
          <w:spacing w:val="51"/>
          <w:sz w:val="23"/>
          <w:szCs w:val="23"/>
          <w:highlight w:val="none"/>
        </w:rPr>
        <w:t xml:space="preserve"> </w:t>
      </w:r>
      <w:r>
        <w:rPr>
          <w:rFonts w:hint="eastAsia" w:ascii="仿宋" w:hAnsi="仿宋" w:eastAsia="仿宋" w:cs="仿宋"/>
          <w:color w:val="auto"/>
          <w:spacing w:val="-15"/>
          <w:sz w:val="23"/>
          <w:szCs w:val="23"/>
          <w:highlight w:val="none"/>
        </w:rPr>
        <w:t>：</w:t>
      </w:r>
      <w:r>
        <w:rPr>
          <w:rFonts w:hint="eastAsia" w:ascii="仿宋" w:hAnsi="仿宋" w:eastAsia="仿宋" w:cs="仿宋"/>
          <w:color w:val="auto"/>
          <w:sz w:val="23"/>
          <w:szCs w:val="23"/>
          <w:highlight w:val="none"/>
          <w:u w:val="single" w:color="auto"/>
        </w:rPr>
        <w:t xml:space="preserve">                                   </w:t>
      </w:r>
    </w:p>
    <w:p w14:paraId="49AF696C">
      <w:pPr>
        <w:spacing w:before="187" w:line="237" w:lineRule="auto"/>
        <w:ind w:left="49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地址：</w:t>
      </w:r>
      <w:r>
        <w:rPr>
          <w:rFonts w:hint="eastAsia" w:ascii="仿宋" w:hAnsi="仿宋" w:eastAsia="仿宋" w:cs="仿宋"/>
          <w:color w:val="auto"/>
          <w:sz w:val="23"/>
          <w:szCs w:val="23"/>
          <w:highlight w:val="none"/>
          <w:u w:val="single" w:color="auto"/>
        </w:rPr>
        <w:t xml:space="preserve">                                     </w:t>
      </w:r>
    </w:p>
    <w:p w14:paraId="2B57BA2E">
      <w:pPr>
        <w:spacing w:before="163" w:line="230" w:lineRule="auto"/>
        <w:ind w:left="492"/>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联系电话：</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1"/>
          <w:sz w:val="23"/>
          <w:szCs w:val="23"/>
          <w:highlight w:val="none"/>
          <w:u w:val="single" w:color="auto"/>
        </w:rPr>
        <w:t xml:space="preserve">                </w:t>
      </w:r>
    </w:p>
    <w:p w14:paraId="62990B47">
      <w:pPr>
        <w:pStyle w:val="4"/>
        <w:spacing w:line="364" w:lineRule="auto"/>
        <w:rPr>
          <w:rFonts w:hint="eastAsia" w:ascii="仿宋" w:hAnsi="仿宋" w:eastAsia="仿宋" w:cs="仿宋"/>
          <w:color w:val="auto"/>
          <w:highlight w:val="none"/>
        </w:rPr>
      </w:pPr>
    </w:p>
    <w:p w14:paraId="0C555156">
      <w:pPr>
        <w:spacing w:before="76" w:line="356" w:lineRule="auto"/>
        <w:ind w:left="536"/>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乙方名称：</w:t>
      </w:r>
      <w:r>
        <w:rPr>
          <w:rFonts w:hint="eastAsia" w:ascii="仿宋" w:hAnsi="仿宋" w:eastAsia="仿宋" w:cs="仿宋"/>
          <w:color w:val="auto"/>
          <w:sz w:val="23"/>
          <w:szCs w:val="23"/>
          <w:highlight w:val="none"/>
          <w:u w:val="single" w:color="auto"/>
        </w:rPr>
        <w:t xml:space="preserve">                                 </w:t>
      </w:r>
    </w:p>
    <w:p w14:paraId="232CDDF1">
      <w:pPr>
        <w:spacing w:line="228" w:lineRule="auto"/>
        <w:ind w:left="536"/>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国税纳税人识别号：</w:t>
      </w:r>
      <w:r>
        <w:rPr>
          <w:rFonts w:hint="eastAsia" w:ascii="仿宋" w:hAnsi="仿宋" w:eastAsia="仿宋" w:cs="仿宋"/>
          <w:color w:val="auto"/>
          <w:spacing w:val="1"/>
          <w:sz w:val="23"/>
          <w:szCs w:val="23"/>
          <w:highlight w:val="none"/>
          <w:u w:val="single" w:color="auto"/>
        </w:rPr>
        <w:t xml:space="preserve">               </w:t>
      </w:r>
      <w:r>
        <w:rPr>
          <w:rFonts w:hint="eastAsia" w:ascii="仿宋" w:hAnsi="仿宋" w:eastAsia="仿宋" w:cs="仿宋"/>
          <w:color w:val="auto"/>
          <w:sz w:val="23"/>
          <w:szCs w:val="23"/>
          <w:highlight w:val="none"/>
          <w:u w:val="single" w:color="auto"/>
        </w:rPr>
        <w:t xml:space="preserve">          </w:t>
      </w:r>
    </w:p>
    <w:p w14:paraId="0E9E76F4">
      <w:pPr>
        <w:spacing w:before="184" w:line="228" w:lineRule="auto"/>
        <w:ind w:left="492"/>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户名</w:t>
      </w:r>
      <w:r>
        <w:rPr>
          <w:rFonts w:hint="eastAsia" w:ascii="仿宋" w:hAnsi="仿宋" w:eastAsia="仿宋" w:cs="仿宋"/>
          <w:color w:val="auto"/>
          <w:spacing w:val="57"/>
          <w:sz w:val="23"/>
          <w:szCs w:val="23"/>
          <w:highlight w:val="none"/>
        </w:rPr>
        <w:t xml:space="preserve"> </w:t>
      </w:r>
      <w:r>
        <w:rPr>
          <w:rFonts w:hint="eastAsia" w:ascii="仿宋" w:hAnsi="仿宋" w:eastAsia="仿宋" w:cs="仿宋"/>
          <w:color w:val="auto"/>
          <w:spacing w:val="-9"/>
          <w:sz w:val="23"/>
          <w:szCs w:val="23"/>
          <w:highlight w:val="none"/>
        </w:rPr>
        <w:t>：</w:t>
      </w:r>
      <w:r>
        <w:rPr>
          <w:rFonts w:hint="eastAsia" w:ascii="仿宋" w:hAnsi="仿宋" w:eastAsia="仿宋" w:cs="仿宋"/>
          <w:color w:val="auto"/>
          <w:sz w:val="23"/>
          <w:szCs w:val="23"/>
          <w:highlight w:val="none"/>
          <w:u w:val="single" w:color="auto"/>
        </w:rPr>
        <w:t xml:space="preserve">                                   </w:t>
      </w:r>
    </w:p>
    <w:p w14:paraId="70D55A8E">
      <w:pPr>
        <w:spacing w:before="198" w:line="360" w:lineRule="auto"/>
        <w:ind w:left="492"/>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开户行</w:t>
      </w:r>
      <w:r>
        <w:rPr>
          <w:rFonts w:hint="eastAsia" w:ascii="仿宋" w:hAnsi="仿宋" w:eastAsia="仿宋" w:cs="仿宋"/>
          <w:color w:val="auto"/>
          <w:spacing w:val="53"/>
          <w:sz w:val="23"/>
          <w:szCs w:val="23"/>
          <w:highlight w:val="none"/>
        </w:rPr>
        <w:t xml:space="preserve"> </w:t>
      </w:r>
      <w:r>
        <w:rPr>
          <w:rFonts w:hint="eastAsia" w:ascii="仿宋" w:hAnsi="仿宋" w:eastAsia="仿宋" w:cs="仿宋"/>
          <w:color w:val="auto"/>
          <w:spacing w:val="-8"/>
          <w:sz w:val="23"/>
          <w:szCs w:val="23"/>
          <w:highlight w:val="none"/>
        </w:rPr>
        <w:t>：</w:t>
      </w:r>
      <w:r>
        <w:rPr>
          <w:rFonts w:hint="eastAsia" w:ascii="仿宋" w:hAnsi="仿宋" w:eastAsia="仿宋" w:cs="仿宋"/>
          <w:color w:val="auto"/>
          <w:sz w:val="23"/>
          <w:szCs w:val="23"/>
          <w:highlight w:val="none"/>
          <w:u w:val="single" w:color="auto"/>
        </w:rPr>
        <w:t xml:space="preserve">                                 </w:t>
      </w:r>
    </w:p>
    <w:p w14:paraId="52DE9160">
      <w:pPr>
        <w:spacing w:before="1" w:line="228" w:lineRule="auto"/>
        <w:ind w:left="497"/>
        <w:rPr>
          <w:rFonts w:hint="eastAsia" w:ascii="仿宋" w:hAnsi="仿宋" w:eastAsia="仿宋" w:cs="仿宋"/>
          <w:color w:val="auto"/>
          <w:sz w:val="23"/>
          <w:szCs w:val="23"/>
          <w:highlight w:val="none"/>
        </w:rPr>
      </w:pPr>
      <w:r>
        <w:rPr>
          <w:rFonts w:hint="eastAsia" w:ascii="仿宋" w:hAnsi="仿宋" w:eastAsia="仿宋" w:cs="仿宋"/>
          <w:color w:val="auto"/>
          <w:spacing w:val="-15"/>
          <w:sz w:val="23"/>
          <w:szCs w:val="23"/>
          <w:highlight w:val="none"/>
        </w:rPr>
        <w:t>账号</w:t>
      </w:r>
      <w:r>
        <w:rPr>
          <w:rFonts w:hint="eastAsia" w:ascii="仿宋" w:hAnsi="仿宋" w:eastAsia="仿宋" w:cs="仿宋"/>
          <w:color w:val="auto"/>
          <w:spacing w:val="51"/>
          <w:sz w:val="23"/>
          <w:szCs w:val="23"/>
          <w:highlight w:val="none"/>
        </w:rPr>
        <w:t xml:space="preserve"> </w:t>
      </w:r>
      <w:r>
        <w:rPr>
          <w:rFonts w:hint="eastAsia" w:ascii="仿宋" w:hAnsi="仿宋" w:eastAsia="仿宋" w:cs="仿宋"/>
          <w:color w:val="auto"/>
          <w:spacing w:val="-15"/>
          <w:sz w:val="23"/>
          <w:szCs w:val="23"/>
          <w:highlight w:val="none"/>
        </w:rPr>
        <w:t>：</w:t>
      </w:r>
      <w:r>
        <w:rPr>
          <w:rFonts w:hint="eastAsia" w:ascii="仿宋" w:hAnsi="仿宋" w:eastAsia="仿宋" w:cs="仿宋"/>
          <w:color w:val="auto"/>
          <w:sz w:val="23"/>
          <w:szCs w:val="23"/>
          <w:highlight w:val="none"/>
          <w:u w:val="single" w:color="auto"/>
        </w:rPr>
        <w:t xml:space="preserve">                                   </w:t>
      </w:r>
    </w:p>
    <w:p w14:paraId="353B8F4F">
      <w:pPr>
        <w:spacing w:before="188" w:line="237" w:lineRule="auto"/>
        <w:ind w:left="49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地址：</w:t>
      </w:r>
      <w:r>
        <w:rPr>
          <w:rFonts w:hint="eastAsia" w:ascii="仿宋" w:hAnsi="仿宋" w:eastAsia="仿宋" w:cs="仿宋"/>
          <w:color w:val="auto"/>
          <w:sz w:val="23"/>
          <w:szCs w:val="23"/>
          <w:highlight w:val="none"/>
          <w:u w:val="single" w:color="auto"/>
        </w:rPr>
        <w:t xml:space="preserve">                                     </w:t>
      </w:r>
    </w:p>
    <w:p w14:paraId="3076862B">
      <w:pPr>
        <w:spacing w:before="165" w:line="230" w:lineRule="auto"/>
        <w:ind w:left="492"/>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联系电话：</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1"/>
          <w:sz w:val="23"/>
          <w:szCs w:val="23"/>
          <w:highlight w:val="none"/>
          <w:u w:val="single" w:color="auto"/>
        </w:rPr>
        <w:t xml:space="preserve">                </w:t>
      </w:r>
    </w:p>
    <w:p w14:paraId="2A3165C4">
      <w:pPr>
        <w:spacing w:before="160" w:line="485" w:lineRule="exact"/>
        <w:ind w:left="416"/>
        <w:rPr>
          <w:rFonts w:hint="eastAsia" w:ascii="仿宋" w:hAnsi="仿宋" w:eastAsia="仿宋" w:cs="仿宋"/>
          <w:color w:val="auto"/>
          <w:sz w:val="23"/>
          <w:szCs w:val="23"/>
          <w:highlight w:val="none"/>
        </w:rPr>
      </w:pPr>
      <w:r>
        <w:rPr>
          <w:rFonts w:hint="eastAsia" w:ascii="仿宋" w:hAnsi="仿宋" w:eastAsia="仿宋" w:cs="仿宋"/>
          <w:color w:val="auto"/>
          <w:spacing w:val="5"/>
          <w:position w:val="19"/>
          <w:sz w:val="23"/>
          <w:szCs w:val="23"/>
          <w:highlight w:val="none"/>
        </w:rPr>
        <w:t>乙方如需改变上述账户，应提前10日以书面通</w:t>
      </w:r>
      <w:r>
        <w:rPr>
          <w:rFonts w:hint="eastAsia" w:ascii="仿宋" w:hAnsi="仿宋" w:eastAsia="仿宋" w:cs="仿宋"/>
          <w:color w:val="auto"/>
          <w:spacing w:val="4"/>
          <w:position w:val="19"/>
          <w:sz w:val="23"/>
          <w:szCs w:val="23"/>
          <w:highlight w:val="none"/>
        </w:rPr>
        <w:t>知甲方。如乙方未按本合同规定通知</w:t>
      </w:r>
    </w:p>
    <w:p w14:paraId="60E32D20">
      <w:pPr>
        <w:spacing w:before="1" w:line="227" w:lineRule="auto"/>
        <w:ind w:left="22"/>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导致甲方逾期付款，甲方不承担任何违约责任，乙方应承担因此产生的一切费用。</w:t>
      </w:r>
    </w:p>
    <w:p w14:paraId="4035095A">
      <w:pPr>
        <w:spacing w:before="183" w:line="227" w:lineRule="auto"/>
        <w:ind w:left="14"/>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w:t>
      </w:r>
      <w:r>
        <w:rPr>
          <w:rFonts w:hint="eastAsia" w:ascii="仿宋" w:hAnsi="仿宋" w:eastAsia="仿宋" w:cs="仿宋"/>
          <w:color w:val="auto"/>
          <w:spacing w:val="54"/>
          <w:sz w:val="23"/>
          <w:szCs w:val="23"/>
          <w:highlight w:val="none"/>
        </w:rPr>
        <w:t xml:space="preserve"> </w:t>
      </w:r>
      <w:r>
        <w:rPr>
          <w:rFonts w:hint="eastAsia" w:ascii="仿宋" w:hAnsi="仿宋" w:eastAsia="仿宋" w:cs="仿宋"/>
          <w:color w:val="auto"/>
          <w:sz w:val="23"/>
          <w:szCs w:val="23"/>
          <w:highlight w:val="none"/>
        </w:rPr>
        <w:t>费率其他约定</w:t>
      </w:r>
    </w:p>
    <w:p w14:paraId="7E07EF2A">
      <w:pPr>
        <w:spacing w:before="179" w:line="452"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4"/>
          <w:position w:val="16"/>
          <w:sz w:val="23"/>
          <w:szCs w:val="23"/>
          <w:highlight w:val="none"/>
        </w:rPr>
        <w:t>当成交供应商承接的项目审核存在特殊情况，采购人与成交供应商协</w:t>
      </w:r>
      <w:r>
        <w:rPr>
          <w:rFonts w:hint="eastAsia" w:ascii="仿宋" w:hAnsi="仿宋" w:eastAsia="仿宋" w:cs="仿宋"/>
          <w:color w:val="auto"/>
          <w:spacing w:val="3"/>
          <w:position w:val="16"/>
          <w:sz w:val="23"/>
          <w:szCs w:val="23"/>
          <w:highlight w:val="none"/>
        </w:rPr>
        <w:t>商确定费率后，</w:t>
      </w:r>
    </w:p>
    <w:p w14:paraId="7C5095BE">
      <w:pPr>
        <w:spacing w:line="226" w:lineRule="auto"/>
        <w:ind w:left="2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另行在采购合同中约定。</w:t>
      </w:r>
    </w:p>
    <w:p w14:paraId="71094A7B">
      <w:pPr>
        <w:spacing w:before="203" w:line="228" w:lineRule="auto"/>
        <w:ind w:left="18"/>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3. 履约保证金：元。</w:t>
      </w:r>
    </w:p>
    <w:p w14:paraId="2332F0EF">
      <w:pPr>
        <w:spacing w:before="151" w:line="167" w:lineRule="auto"/>
        <w:rPr>
          <w:rFonts w:hint="eastAsia" w:ascii="仿宋" w:hAnsi="仿宋" w:eastAsia="仿宋" w:cs="仿宋"/>
          <w:color w:val="auto"/>
          <w:sz w:val="25"/>
          <w:szCs w:val="25"/>
          <w:highlight w:val="none"/>
        </w:rPr>
      </w:pPr>
      <w:r>
        <w:rPr>
          <w:rFonts w:hint="eastAsia" w:ascii="仿宋" w:hAnsi="仿宋" w:eastAsia="仿宋" w:cs="仿宋"/>
          <w:color w:val="auto"/>
          <w:spacing w:val="6"/>
          <w:sz w:val="25"/>
          <w:szCs w:val="25"/>
          <w:highlight w:val="none"/>
        </w:rPr>
        <w:t>第五条采购合同文本</w:t>
      </w:r>
    </w:p>
    <w:p w14:paraId="0B974136">
      <w:pPr>
        <w:spacing w:before="197" w:line="227" w:lineRule="auto"/>
        <w:ind w:left="14"/>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详见采购合同（格式）。</w:t>
      </w:r>
    </w:p>
    <w:p w14:paraId="70BB4402">
      <w:pPr>
        <w:spacing w:before="155" w:line="166" w:lineRule="auto"/>
        <w:rPr>
          <w:rFonts w:hint="eastAsia" w:ascii="仿宋" w:hAnsi="仿宋" w:eastAsia="仿宋" w:cs="仿宋"/>
          <w:color w:val="auto"/>
          <w:sz w:val="25"/>
          <w:szCs w:val="25"/>
          <w:highlight w:val="none"/>
        </w:rPr>
      </w:pPr>
      <w:r>
        <w:rPr>
          <w:rFonts w:hint="eastAsia" w:ascii="仿宋" w:hAnsi="仿宋" w:eastAsia="仿宋" w:cs="仿宋"/>
          <w:color w:val="auto"/>
          <w:spacing w:val="1"/>
          <w:sz w:val="25"/>
          <w:szCs w:val="25"/>
          <w:highlight w:val="none"/>
        </w:rPr>
        <w:t>第六条入围供应商清退和补充规则</w:t>
      </w:r>
    </w:p>
    <w:p w14:paraId="1ABB87C5">
      <w:pPr>
        <w:spacing w:before="197"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1.入围供应商的清退</w:t>
      </w:r>
    </w:p>
    <w:p w14:paraId="0A2AE46C">
      <w:pPr>
        <w:spacing w:before="166" w:line="480" w:lineRule="exact"/>
        <w:ind w:left="536"/>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乙方在签订本框架协议前出现以下情形之一的，甲方将取消其入围资格：乙</w:t>
      </w:r>
      <w:r>
        <w:rPr>
          <w:rFonts w:hint="eastAsia" w:ascii="仿宋" w:hAnsi="仿宋" w:eastAsia="仿宋" w:cs="仿宋"/>
          <w:color w:val="auto"/>
          <w:spacing w:val="6"/>
          <w:position w:val="18"/>
          <w:sz w:val="23"/>
          <w:szCs w:val="23"/>
          <w:highlight w:val="none"/>
        </w:rPr>
        <w:t>方在签</w:t>
      </w:r>
    </w:p>
    <w:p w14:paraId="48BB4682">
      <w:pPr>
        <w:spacing w:before="1" w:line="224" w:lineRule="auto"/>
        <w:ind w:left="14"/>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订本框架协议后出现以下情形之一的,甲方将解除与其签订的框架协议：</w:t>
      </w:r>
    </w:p>
    <w:p w14:paraId="5C83E7BE">
      <w:pPr>
        <w:spacing w:before="193" w:line="227" w:lineRule="auto"/>
        <w:ind w:left="512"/>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（1）恶意串通谋取入围或者成交的；</w:t>
      </w:r>
    </w:p>
    <w:p w14:paraId="4EBCF50D">
      <w:pPr>
        <w:spacing w:before="166" w:line="485" w:lineRule="exact"/>
        <w:ind w:left="512"/>
        <w:rPr>
          <w:rFonts w:hint="eastAsia" w:ascii="仿宋" w:hAnsi="仿宋" w:eastAsia="仿宋" w:cs="仿宋"/>
          <w:color w:val="auto"/>
          <w:sz w:val="23"/>
          <w:szCs w:val="23"/>
          <w:highlight w:val="none"/>
        </w:rPr>
      </w:pPr>
      <w:r>
        <w:rPr>
          <w:rFonts w:hint="eastAsia" w:ascii="仿宋" w:hAnsi="仿宋" w:eastAsia="仿宋" w:cs="仿宋"/>
          <w:color w:val="auto"/>
          <w:spacing w:val="4"/>
          <w:position w:val="19"/>
          <w:sz w:val="23"/>
          <w:szCs w:val="23"/>
          <w:highlight w:val="none"/>
        </w:rPr>
        <w:t>（2）提供虚假材料谋取入围或者成交的；</w:t>
      </w:r>
    </w:p>
    <w:p w14:paraId="7A206682">
      <w:pPr>
        <w:spacing w:line="228" w:lineRule="auto"/>
        <w:ind w:left="512"/>
        <w:rPr>
          <w:rFonts w:hint="eastAsia" w:ascii="仿宋" w:hAnsi="仿宋" w:eastAsia="仿宋" w:cs="仿宋"/>
          <w:color w:val="auto"/>
          <w:spacing w:val="5"/>
          <w:sz w:val="23"/>
          <w:szCs w:val="23"/>
          <w:highlight w:val="none"/>
        </w:rPr>
      </w:pPr>
      <w:r>
        <w:rPr>
          <w:rFonts w:hint="eastAsia" w:ascii="仿宋" w:hAnsi="仿宋" w:eastAsia="仿宋" w:cs="仿宋"/>
          <w:color w:val="auto"/>
          <w:spacing w:val="5"/>
          <w:sz w:val="23"/>
          <w:szCs w:val="23"/>
          <w:highlight w:val="none"/>
        </w:rPr>
        <w:t>（3）无正当理由拒不接受授予的；</w:t>
      </w:r>
    </w:p>
    <w:p w14:paraId="0C639F7C">
      <w:pPr>
        <w:pStyle w:val="4"/>
        <w:spacing w:line="242" w:lineRule="auto"/>
        <w:rPr>
          <w:rFonts w:hint="eastAsia" w:ascii="仿宋" w:hAnsi="仿宋" w:eastAsia="仿宋" w:cs="仿宋"/>
          <w:color w:val="auto"/>
          <w:highlight w:val="none"/>
        </w:rPr>
      </w:pPr>
    </w:p>
    <w:p w14:paraId="406DC98A">
      <w:pPr>
        <w:spacing w:before="75" w:line="485" w:lineRule="exact"/>
        <w:ind w:left="512"/>
        <w:rPr>
          <w:rFonts w:hint="eastAsia" w:ascii="仿宋" w:hAnsi="仿宋" w:eastAsia="仿宋" w:cs="仿宋"/>
          <w:color w:val="auto"/>
          <w:sz w:val="23"/>
          <w:szCs w:val="23"/>
          <w:highlight w:val="none"/>
        </w:rPr>
      </w:pPr>
      <w:r>
        <w:rPr>
          <w:rFonts w:hint="eastAsia" w:ascii="仿宋" w:hAnsi="仿宋" w:eastAsia="仿宋" w:cs="仿宋"/>
          <w:color w:val="auto"/>
          <w:spacing w:val="8"/>
          <w:position w:val="19"/>
          <w:sz w:val="23"/>
          <w:szCs w:val="23"/>
          <w:highlight w:val="none"/>
        </w:rPr>
        <w:t>（4）不履行框架协议义务或者辰行义务不符合约定，经采购人请求履行后仍不履</w:t>
      </w:r>
    </w:p>
    <w:p w14:paraId="4F4032DF">
      <w:pPr>
        <w:spacing w:line="227" w:lineRule="auto"/>
        <w:ind w:left="17"/>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行或者仍未按约定履行的；</w:t>
      </w:r>
    </w:p>
    <w:p w14:paraId="5831D7E9">
      <w:pPr>
        <w:spacing w:before="181" w:line="227" w:lineRule="auto"/>
        <w:ind w:left="512"/>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（5）框架协议有效期内，因违法行为被禁止或限制参加政府采购活</w:t>
      </w:r>
      <w:r>
        <w:rPr>
          <w:rFonts w:hint="eastAsia" w:ascii="仿宋" w:hAnsi="仿宋" w:eastAsia="仿宋" w:cs="仿宋"/>
          <w:color w:val="auto"/>
          <w:spacing w:val="7"/>
          <w:sz w:val="23"/>
          <w:szCs w:val="23"/>
          <w:highlight w:val="none"/>
        </w:rPr>
        <w:t>动的；</w:t>
      </w:r>
    </w:p>
    <w:p w14:paraId="2D298E63">
      <w:pPr>
        <w:spacing w:before="166" w:line="485" w:lineRule="exact"/>
        <w:ind w:left="512"/>
        <w:rPr>
          <w:rFonts w:hint="eastAsia" w:ascii="仿宋" w:hAnsi="仿宋" w:eastAsia="仿宋" w:cs="仿宋"/>
          <w:color w:val="auto"/>
          <w:sz w:val="23"/>
          <w:szCs w:val="23"/>
          <w:highlight w:val="none"/>
        </w:rPr>
      </w:pPr>
      <w:r>
        <w:rPr>
          <w:rFonts w:hint="eastAsia" w:ascii="仿宋" w:hAnsi="仿宋" w:eastAsia="仿宋" w:cs="仿宋"/>
          <w:color w:val="auto"/>
          <w:spacing w:val="5"/>
          <w:position w:val="19"/>
          <w:sz w:val="23"/>
          <w:szCs w:val="23"/>
          <w:highlight w:val="none"/>
        </w:rPr>
        <w:t>（6）入围供应商的组织机构、经营、财务状况发生较大变</w:t>
      </w:r>
      <w:r>
        <w:rPr>
          <w:rFonts w:hint="eastAsia" w:ascii="仿宋" w:hAnsi="仿宋" w:eastAsia="仿宋" w:cs="仿宋"/>
          <w:color w:val="auto"/>
          <w:spacing w:val="4"/>
          <w:position w:val="19"/>
          <w:sz w:val="23"/>
          <w:szCs w:val="23"/>
          <w:highlight w:val="none"/>
        </w:rPr>
        <w:t>化， 可能造成不能履行</w:t>
      </w:r>
    </w:p>
    <w:p w14:paraId="76C5754A">
      <w:pPr>
        <w:spacing w:line="227" w:lineRule="auto"/>
        <w:ind w:left="7"/>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框架协议或合同的。</w:t>
      </w:r>
    </w:p>
    <w:p w14:paraId="47B9412A">
      <w:pPr>
        <w:spacing w:before="182" w:line="227" w:lineRule="auto"/>
        <w:ind w:left="494"/>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2.入围供应商的补充</w:t>
      </w:r>
    </w:p>
    <w:p w14:paraId="392A0E02">
      <w:pPr>
        <w:spacing w:before="184" w:line="227" w:lineRule="auto"/>
        <w:ind w:left="55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甲方不启动补充征集程序。</w:t>
      </w:r>
    </w:p>
    <w:p w14:paraId="62B55A7C">
      <w:pPr>
        <w:spacing w:before="154" w:line="173"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第七条</w:t>
      </w:r>
      <w:r>
        <w:rPr>
          <w:rFonts w:hint="eastAsia" w:ascii="仿宋" w:hAnsi="仿宋" w:eastAsia="仿宋" w:cs="仿宋"/>
          <w:color w:val="auto"/>
          <w:spacing w:val="19"/>
          <w:w w:val="101"/>
          <w:sz w:val="24"/>
          <w:szCs w:val="24"/>
          <w:highlight w:val="none"/>
        </w:rPr>
        <w:t xml:space="preserve">  </w:t>
      </w:r>
      <w:r>
        <w:rPr>
          <w:rFonts w:hint="eastAsia" w:ascii="仿宋" w:hAnsi="仿宋" w:eastAsia="仿宋" w:cs="仿宋"/>
          <w:color w:val="auto"/>
          <w:sz w:val="24"/>
          <w:szCs w:val="24"/>
          <w:highlight w:val="none"/>
        </w:rPr>
        <w:t>甲方权利和义务</w:t>
      </w:r>
    </w:p>
    <w:p w14:paraId="4700F6B3">
      <w:pPr>
        <w:spacing w:before="182" w:line="483"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1.甲方将依照有关法规、规章的规定，要求采购人按照本项目征集文件采购需求及</w:t>
      </w:r>
    </w:p>
    <w:p w14:paraId="5C01D2A6">
      <w:pPr>
        <w:spacing w:before="1" w:line="226" w:lineRule="auto"/>
        <w:ind w:left="12"/>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本框架协议约定的事项从入围供应商中选定成交供应商。</w:t>
      </w:r>
    </w:p>
    <w:p w14:paraId="449791AB">
      <w:pPr>
        <w:spacing w:before="166" w:line="485"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2.甲方负责管理乙方的服务活动，使其符合采购价格不高于响应报价的价格，采购</w:t>
      </w:r>
    </w:p>
    <w:p w14:paraId="6776B8D9">
      <w:pPr>
        <w:spacing w:line="227" w:lineRule="auto"/>
        <w:ind w:left="12"/>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质量优良和服务良好的要求。</w:t>
      </w:r>
    </w:p>
    <w:p w14:paraId="470986AE">
      <w:pPr>
        <w:spacing w:before="204" w:line="227" w:lineRule="auto"/>
        <w:ind w:left="498"/>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3.甲方有权按照本项目征集文件以及本框架协议和采购合同等文件对乙方履约行</w:t>
      </w:r>
    </w:p>
    <w:p w14:paraId="65F35156">
      <w:pPr>
        <w:spacing w:before="183" w:line="365" w:lineRule="auto"/>
        <w:ind w:left="7" w:right="2" w:firstLine="3"/>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为进行监督和检查， 收集并公开采购人对入围供应商履行框架协议和采购合同情况的反</w:t>
      </w:r>
      <w:r>
        <w:rPr>
          <w:rFonts w:hint="eastAsia" w:ascii="仿宋" w:hAnsi="仿宋" w:eastAsia="仿宋" w:cs="仿宋"/>
          <w:color w:val="auto"/>
          <w:spacing w:val="8"/>
          <w:sz w:val="23"/>
          <w:szCs w:val="23"/>
          <w:highlight w:val="none"/>
        </w:rPr>
        <w:t>馈与评价。如发现乙方违反征集文件或本协议或采购合同的有关规定和承诺，甲方有权</w:t>
      </w:r>
    </w:p>
    <w:p w14:paraId="07F6BDB4">
      <w:pPr>
        <w:spacing w:line="227" w:lineRule="auto"/>
        <w:ind w:left="23"/>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暂停或解除乙方的框架协议。</w:t>
      </w:r>
    </w:p>
    <w:p w14:paraId="1A2F5E10">
      <w:pPr>
        <w:spacing w:before="185" w:line="227" w:lineRule="auto"/>
        <w:ind w:left="487"/>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4.甲方有权对入围供应商进行清退或补充等相关事宜。</w:t>
      </w:r>
    </w:p>
    <w:p w14:paraId="0B6E4C22">
      <w:pPr>
        <w:spacing w:before="164" w:line="482"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5.如征集文件有要求需要在框架协议中另行确定的事项，甲方有权按征集文件要求</w:t>
      </w:r>
    </w:p>
    <w:p w14:paraId="7E430961">
      <w:pPr>
        <w:spacing w:before="1" w:line="227" w:lineRule="auto"/>
        <w:ind w:left="8"/>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执行。</w:t>
      </w:r>
    </w:p>
    <w:p w14:paraId="722D9CB3">
      <w:pPr>
        <w:numPr>
          <w:ilvl w:val="0"/>
          <w:numId w:val="5"/>
        </w:numPr>
        <w:spacing w:before="206" w:line="365" w:lineRule="auto"/>
        <w:ind w:left="7" w:right="2" w:firstLine="48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甲方有权要求乙方按时、按质、按量、按计划与合同协议约定完成本项目，并有</w:t>
      </w:r>
      <w:r>
        <w:rPr>
          <w:rFonts w:hint="eastAsia" w:ascii="仿宋" w:hAnsi="仿宋" w:eastAsia="仿宋" w:cs="仿宋"/>
          <w:color w:val="auto"/>
          <w:spacing w:val="8"/>
          <w:sz w:val="23"/>
          <w:szCs w:val="23"/>
          <w:highlight w:val="none"/>
        </w:rPr>
        <w:t>权对乙方工作情况进行监督。如发现乙方与项目有关人员有意串通增大工程量或弄虚作</w:t>
      </w:r>
      <w:r>
        <w:rPr>
          <w:rFonts w:hint="eastAsia" w:ascii="仿宋" w:hAnsi="仿宋" w:eastAsia="仿宋" w:cs="仿宋"/>
          <w:color w:val="auto"/>
          <w:spacing w:val="1"/>
          <w:sz w:val="23"/>
          <w:szCs w:val="23"/>
          <w:highlight w:val="none"/>
        </w:rPr>
        <w:t>假增加审计金额的， 经查实按违约责任处理。</w:t>
      </w:r>
    </w:p>
    <w:p w14:paraId="6BE2BA2C">
      <w:pPr>
        <w:spacing w:before="166" w:line="485"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4"/>
          <w:position w:val="19"/>
          <w:sz w:val="23"/>
          <w:szCs w:val="23"/>
          <w:highlight w:val="none"/>
        </w:rPr>
        <w:t>7.根据项目进度，甲方有权及时对乙方才是交的方案提出修改意见，并要求乙方按</w:t>
      </w:r>
    </w:p>
    <w:p w14:paraId="78E1BCE7">
      <w:pPr>
        <w:spacing w:before="1" w:line="227" w:lineRule="auto"/>
        <w:ind w:left="8"/>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修改意见完成服务工作。</w:t>
      </w:r>
    </w:p>
    <w:p w14:paraId="3AE29ADA">
      <w:pPr>
        <w:spacing w:before="165" w:line="485"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8.乙方面己备的项目投入人员应得到甲方的认可；对派遣到甲方的审核人员（包括</w:t>
      </w:r>
    </w:p>
    <w:p w14:paraId="7913443F">
      <w:pPr>
        <w:spacing w:line="227" w:lineRule="auto"/>
        <w:ind w:left="13"/>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主审、协审人员）进行管理、考核、检查与奖惩。</w:t>
      </w:r>
    </w:p>
    <w:p w14:paraId="7FC3D3B3">
      <w:pPr>
        <w:spacing w:before="183" w:line="227" w:lineRule="auto"/>
        <w:ind w:left="492"/>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9.甲方有权要求乙方更换不合格的工作人员。</w:t>
      </w:r>
    </w:p>
    <w:p w14:paraId="441CB143">
      <w:pPr>
        <w:spacing w:before="183"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10.按框架协议要求及时向乙方支付产品和</w:t>
      </w:r>
      <w:r>
        <w:rPr>
          <w:rFonts w:hint="eastAsia" w:ascii="仿宋" w:hAnsi="仿宋" w:eastAsia="仿宋" w:cs="仿宋"/>
          <w:color w:val="auto"/>
          <w:spacing w:val="6"/>
          <w:sz w:val="23"/>
          <w:szCs w:val="23"/>
          <w:highlight w:val="none"/>
        </w:rPr>
        <w:t>服务费用。</w:t>
      </w:r>
    </w:p>
    <w:p w14:paraId="3806806D">
      <w:pPr>
        <w:spacing w:before="184"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11.如采购项目涉及采购标的的知识产权归</w:t>
      </w:r>
      <w:r>
        <w:rPr>
          <w:rFonts w:hint="eastAsia" w:ascii="仿宋" w:hAnsi="仿宋" w:eastAsia="仿宋" w:cs="仿宋"/>
          <w:color w:val="auto"/>
          <w:spacing w:val="6"/>
          <w:sz w:val="23"/>
          <w:szCs w:val="23"/>
          <w:highlight w:val="none"/>
        </w:rPr>
        <w:t>属的，产权归属为甲方。</w:t>
      </w:r>
    </w:p>
    <w:p w14:paraId="63B0371B">
      <w:pPr>
        <w:spacing w:before="183" w:line="227" w:lineRule="auto"/>
        <w:ind w:left="525"/>
        <w:rPr>
          <w:rFonts w:hint="eastAsia" w:ascii="仿宋" w:hAnsi="仿宋" w:eastAsia="仿宋" w:cs="仿宋"/>
          <w:color w:val="auto"/>
          <w:highlight w:val="none"/>
        </w:rPr>
      </w:pPr>
      <w:r>
        <w:rPr>
          <w:rFonts w:hint="eastAsia" w:ascii="仿宋" w:hAnsi="仿宋" w:eastAsia="仿宋" w:cs="仿宋"/>
          <w:color w:val="auto"/>
          <w:spacing w:val="8"/>
          <w:sz w:val="23"/>
          <w:szCs w:val="23"/>
          <w:highlight w:val="none"/>
        </w:rPr>
        <w:t>12.处理方式：采购人在中华人民共和国境内使用供应商提供的</w:t>
      </w:r>
      <w:r>
        <w:rPr>
          <w:rFonts w:hint="eastAsia" w:ascii="仿宋" w:hAnsi="仿宋" w:eastAsia="仿宋" w:cs="仿宋"/>
          <w:color w:val="auto"/>
          <w:spacing w:val="7"/>
          <w:sz w:val="23"/>
          <w:szCs w:val="23"/>
          <w:highlight w:val="none"/>
        </w:rPr>
        <w:t>产品及服务时免受</w:t>
      </w:r>
    </w:p>
    <w:p w14:paraId="51E4EF9E">
      <w:pPr>
        <w:pStyle w:val="4"/>
        <w:spacing w:line="240" w:lineRule="auto"/>
        <w:rPr>
          <w:rFonts w:hint="eastAsia" w:ascii="仿宋" w:hAnsi="仿宋" w:eastAsia="仿宋" w:cs="仿宋"/>
          <w:color w:val="auto"/>
          <w:highlight w:val="none"/>
        </w:rPr>
      </w:pPr>
    </w:p>
    <w:p w14:paraId="2D2BAF3F">
      <w:pPr>
        <w:spacing w:before="75" w:line="485" w:lineRule="exact"/>
        <w:ind w:left="8"/>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第三方提出的侵犯其专利权或其他知识产权的起诉。如果第三方提出侵权指控，乙方应</w:t>
      </w:r>
    </w:p>
    <w:p w14:paraId="0EDA36B9">
      <w:pPr>
        <w:spacing w:line="227" w:lineRule="auto"/>
        <w:ind w:left="8"/>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承担由此而引起的一切法律责任和费用。</w:t>
      </w:r>
    </w:p>
    <w:p w14:paraId="53373202">
      <w:pPr>
        <w:spacing w:before="154" w:line="173" w:lineRule="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第八条</w:t>
      </w:r>
      <w:r>
        <w:rPr>
          <w:rFonts w:hint="eastAsia" w:ascii="仿宋" w:hAnsi="仿宋" w:eastAsia="仿宋" w:cs="仿宋"/>
          <w:color w:val="auto"/>
          <w:spacing w:val="61"/>
          <w:sz w:val="24"/>
          <w:szCs w:val="24"/>
          <w:highlight w:val="none"/>
        </w:rPr>
        <w:t xml:space="preserve"> </w:t>
      </w:r>
      <w:r>
        <w:rPr>
          <w:rFonts w:hint="eastAsia" w:ascii="仿宋" w:hAnsi="仿宋" w:eastAsia="仿宋" w:cs="仿宋"/>
          <w:color w:val="auto"/>
          <w:spacing w:val="6"/>
          <w:sz w:val="24"/>
          <w:szCs w:val="24"/>
          <w:highlight w:val="none"/>
        </w:rPr>
        <w:t>乙方权利和义务</w:t>
      </w:r>
    </w:p>
    <w:p w14:paraId="39A833E2">
      <w:pPr>
        <w:spacing w:before="180" w:line="484" w:lineRule="exact"/>
        <w:ind w:left="525"/>
        <w:rPr>
          <w:rFonts w:hint="eastAsia" w:ascii="仿宋" w:hAnsi="仿宋" w:eastAsia="仿宋" w:cs="仿宋"/>
          <w:color w:val="auto"/>
          <w:sz w:val="23"/>
          <w:szCs w:val="23"/>
          <w:highlight w:val="none"/>
        </w:rPr>
      </w:pPr>
      <w:r>
        <w:rPr>
          <w:rFonts w:hint="eastAsia" w:ascii="仿宋" w:hAnsi="仿宋" w:eastAsia="仿宋" w:cs="仿宋"/>
          <w:color w:val="auto"/>
          <w:spacing w:val="6"/>
          <w:position w:val="19"/>
          <w:sz w:val="23"/>
          <w:szCs w:val="23"/>
          <w:highlight w:val="none"/>
        </w:rPr>
        <w:t>1.</w:t>
      </w:r>
      <w:r>
        <w:rPr>
          <w:rFonts w:hint="eastAsia" w:ascii="仿宋" w:hAnsi="仿宋" w:eastAsia="仿宋" w:cs="仿宋"/>
          <w:color w:val="auto"/>
          <w:spacing w:val="81"/>
          <w:position w:val="19"/>
          <w:sz w:val="23"/>
          <w:szCs w:val="23"/>
          <w:highlight w:val="none"/>
        </w:rPr>
        <w:t xml:space="preserve"> </w:t>
      </w:r>
      <w:r>
        <w:rPr>
          <w:rFonts w:hint="eastAsia" w:ascii="仿宋" w:hAnsi="仿宋" w:eastAsia="仿宋" w:cs="仿宋"/>
          <w:color w:val="auto"/>
          <w:spacing w:val="6"/>
          <w:position w:val="19"/>
          <w:sz w:val="23"/>
          <w:szCs w:val="23"/>
          <w:highlight w:val="none"/>
        </w:rPr>
        <w:t>乙方应当遵守采购人按照本协议规定的选定成交供应商的方式获得成交供应商</w:t>
      </w:r>
    </w:p>
    <w:p w14:paraId="2FD8E182">
      <w:pPr>
        <w:spacing w:line="227" w:lineRule="auto"/>
        <w:ind w:left="31"/>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资格。</w:t>
      </w:r>
    </w:p>
    <w:p w14:paraId="383D6E7A">
      <w:pPr>
        <w:spacing w:before="182" w:line="227" w:lineRule="auto"/>
        <w:ind w:left="494"/>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2.乙方提供的产品或服务应符合国家标准和征集文件中要求的标准。</w:t>
      </w:r>
    </w:p>
    <w:p w14:paraId="3E44328D">
      <w:pPr>
        <w:spacing w:before="166" w:line="485" w:lineRule="exact"/>
        <w:ind w:right="59"/>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3.乙方应保证依据征集文件要求及响应承诺，向采购人提供质量不降低，价格不提</w:t>
      </w:r>
    </w:p>
    <w:p w14:paraId="3A6F927A">
      <w:pPr>
        <w:spacing w:before="1" w:line="226" w:lineRule="auto"/>
        <w:ind w:left="22"/>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高的产品，以及与之配套的耗材、配件 。</w:t>
      </w:r>
    </w:p>
    <w:p w14:paraId="359AAE35">
      <w:pPr>
        <w:spacing w:before="181" w:line="226" w:lineRule="auto"/>
        <w:ind w:left="487"/>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4.乙方应接受并配合甲方的评价及反馈机制，严格</w:t>
      </w:r>
      <w:r>
        <w:rPr>
          <w:rFonts w:hint="eastAsia" w:ascii="仿宋" w:hAnsi="仿宋" w:eastAsia="仿宋" w:cs="仿宋"/>
          <w:color w:val="auto"/>
          <w:spacing w:val="8"/>
          <w:sz w:val="23"/>
          <w:szCs w:val="23"/>
          <w:highlight w:val="none"/>
        </w:rPr>
        <w:t>履行服务承诺。</w:t>
      </w:r>
    </w:p>
    <w:p w14:paraId="6C121274">
      <w:pPr>
        <w:spacing w:before="208" w:line="365" w:lineRule="auto"/>
        <w:ind w:left="8" w:right="63" w:firstLine="489"/>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5.乙方无正当理由，不得主动放弃入围资格或者退出框架协议，否则，乙方不得参</w:t>
      </w:r>
      <w:r>
        <w:rPr>
          <w:rFonts w:hint="eastAsia" w:ascii="仿宋" w:hAnsi="仿宋" w:eastAsia="仿宋" w:cs="仿宋"/>
          <w:color w:val="auto"/>
          <w:spacing w:val="8"/>
          <w:sz w:val="23"/>
          <w:szCs w:val="23"/>
          <w:highlight w:val="none"/>
        </w:rPr>
        <w:t>加同一封闭式框架协议补充征集，或者重新申请加入同一开放式框架协议。甲方保留对</w:t>
      </w:r>
    </w:p>
    <w:p w14:paraId="3E999859">
      <w:pPr>
        <w:spacing w:before="1" w:line="226" w:lineRule="auto"/>
        <w:ind w:left="56"/>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乙方追究责任的权利。</w:t>
      </w:r>
    </w:p>
    <w:p w14:paraId="1FF5EF1F">
      <w:pPr>
        <w:spacing w:before="166" w:line="485" w:lineRule="exact"/>
        <w:ind w:right="59"/>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6.乙方应按照征集文件评审办法要求提供需要核查的原件，如原件与响应文件中提</w:t>
      </w:r>
    </w:p>
    <w:p w14:paraId="70A2BBE5">
      <w:pPr>
        <w:spacing w:before="1" w:line="226" w:lineRule="auto"/>
        <w:ind w:left="8"/>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供的不一致或虚假的或未提供的，甲方有权取消乙方入围资格</w:t>
      </w:r>
      <w:r>
        <w:rPr>
          <w:rFonts w:hint="eastAsia" w:ascii="仿宋" w:hAnsi="仿宋" w:eastAsia="仿宋" w:cs="仿宋"/>
          <w:color w:val="auto"/>
          <w:spacing w:val="8"/>
          <w:sz w:val="23"/>
          <w:szCs w:val="23"/>
          <w:highlight w:val="none"/>
        </w:rPr>
        <w:t>，另行确定入围供应商。</w:t>
      </w:r>
    </w:p>
    <w:p w14:paraId="5D5FA92A">
      <w:pPr>
        <w:pStyle w:val="4"/>
        <w:spacing w:before="166" w:line="485" w:lineRule="exact"/>
        <w:ind w:right="40"/>
        <w:jc w:val="center"/>
        <w:rPr>
          <w:rFonts w:hint="eastAsia" w:ascii="仿宋" w:hAnsi="仿宋" w:eastAsia="仿宋" w:cs="仿宋"/>
          <w:color w:val="auto"/>
          <w:sz w:val="23"/>
          <w:szCs w:val="23"/>
          <w:highlight w:val="none"/>
        </w:rPr>
      </w:pPr>
      <w:r>
        <w:rPr>
          <w:rFonts w:hint="eastAsia" w:ascii="仿宋" w:hAnsi="仿宋" w:eastAsia="仿宋" w:cs="仿宋"/>
          <w:color w:val="auto"/>
          <w:spacing w:val="9"/>
          <w:position w:val="18"/>
          <w:sz w:val="23"/>
          <w:szCs w:val="23"/>
          <w:highlight w:val="none"/>
        </w:rPr>
        <w:t>7. 严格履行合同文件（含征集文件、响应文件等〉约定和承诺的服务内容和质量.</w:t>
      </w:r>
    </w:p>
    <w:p w14:paraId="02D531D8">
      <w:pPr>
        <w:spacing w:line="228" w:lineRule="auto"/>
        <w:ind w:left="12"/>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标准，保证甲方项目的相关工作质量和进度。</w:t>
      </w:r>
    </w:p>
    <w:p w14:paraId="312B3869">
      <w:pPr>
        <w:numPr>
          <w:ilvl w:val="0"/>
          <w:numId w:val="0"/>
        </w:numPr>
        <w:spacing w:before="202" w:line="370" w:lineRule="auto"/>
        <w:ind w:firstLine="484" w:firstLineChars="200"/>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lang w:val="en-US" w:eastAsia="zh-CN"/>
        </w:rPr>
        <w:t>8.</w:t>
      </w:r>
      <w:r>
        <w:rPr>
          <w:rFonts w:hint="eastAsia" w:ascii="仿宋" w:hAnsi="仿宋" w:eastAsia="仿宋" w:cs="仿宋"/>
          <w:color w:val="auto"/>
          <w:spacing w:val="6"/>
          <w:sz w:val="23"/>
          <w:szCs w:val="23"/>
          <w:highlight w:val="none"/>
        </w:rPr>
        <w:t>必须严格实施乙方响应文件中承诺的人力资源配置。在必须补充或更换人员时，</w:t>
      </w:r>
      <w:r>
        <w:rPr>
          <w:rFonts w:hint="eastAsia" w:ascii="仿宋" w:hAnsi="仿宋" w:eastAsia="仿宋" w:cs="仿宋"/>
          <w:color w:val="auto"/>
          <w:spacing w:val="7"/>
          <w:sz w:val="23"/>
          <w:szCs w:val="23"/>
          <w:highlight w:val="none"/>
        </w:rPr>
        <w:t>必须补充或更换优于或等同于响应文件所承诺资质的审核人员</w:t>
      </w:r>
      <w:r>
        <w:rPr>
          <w:rFonts w:hint="eastAsia" w:ascii="仿宋" w:hAnsi="仿宋" w:eastAsia="仿宋" w:cs="仿宋"/>
          <w:color w:val="auto"/>
          <w:spacing w:val="6"/>
          <w:sz w:val="23"/>
          <w:szCs w:val="23"/>
          <w:highlight w:val="none"/>
        </w:rPr>
        <w:t>（包括主审、协审人员</w:t>
      </w:r>
      <w:r>
        <w:rPr>
          <w:rFonts w:hint="eastAsia" w:ascii="仿宋" w:hAnsi="仿宋" w:eastAsia="仿宋" w:cs="仿宋"/>
          <w:color w:val="auto"/>
          <w:spacing w:val="-52"/>
          <w:sz w:val="23"/>
          <w:szCs w:val="23"/>
          <w:highlight w:val="none"/>
        </w:rPr>
        <w:t>），</w:t>
      </w:r>
      <w:r>
        <w:rPr>
          <w:rFonts w:hint="eastAsia" w:ascii="仿宋" w:hAnsi="仿宋" w:eastAsia="仿宋" w:cs="仿宋"/>
          <w:color w:val="auto"/>
          <w:spacing w:val="7"/>
          <w:sz w:val="23"/>
          <w:szCs w:val="23"/>
          <w:highlight w:val="none"/>
        </w:rPr>
        <w:t>并须取得甲方书面同意。在框架协议有效期内，如乙方在第二阶段签订合同时需要调整</w:t>
      </w:r>
      <w:r>
        <w:rPr>
          <w:rFonts w:hint="eastAsia" w:ascii="仿宋" w:hAnsi="仿宋" w:eastAsia="仿宋" w:cs="仿宋"/>
          <w:color w:val="auto"/>
          <w:spacing w:val="8"/>
          <w:sz w:val="23"/>
          <w:szCs w:val="23"/>
          <w:highlight w:val="none"/>
        </w:rPr>
        <w:t>人员，调整的人员应当是响应文件中承诺的拟投入人员，且签</w:t>
      </w:r>
      <w:r>
        <w:rPr>
          <w:rFonts w:hint="eastAsia" w:ascii="仿宋" w:hAnsi="仿宋" w:eastAsia="仿宋" w:cs="仿宋"/>
          <w:color w:val="auto"/>
          <w:spacing w:val="7"/>
          <w:sz w:val="23"/>
          <w:szCs w:val="23"/>
          <w:highlight w:val="none"/>
        </w:rPr>
        <w:t>订合同前须提供人员名单</w:t>
      </w:r>
      <w:r>
        <w:rPr>
          <w:rFonts w:hint="eastAsia" w:ascii="仿宋" w:hAnsi="仿宋" w:eastAsia="仿宋" w:cs="仿宋"/>
          <w:color w:val="auto"/>
          <w:spacing w:val="5"/>
          <w:sz w:val="23"/>
          <w:szCs w:val="23"/>
          <w:highlight w:val="none"/>
        </w:rPr>
        <w:t>送甲方审核。</w:t>
      </w:r>
    </w:p>
    <w:p w14:paraId="7C9AC8F6">
      <w:pPr>
        <w:spacing w:before="200" w:line="365" w:lineRule="auto"/>
        <w:ind w:left="12" w:right="63" w:firstLine="479"/>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9.乙方项目负责人及服务团队成员须与响应文件保持一致。合同存续期内，未经甲</w:t>
      </w:r>
      <w:r>
        <w:rPr>
          <w:rFonts w:hint="eastAsia" w:ascii="仿宋" w:hAnsi="仿宋" w:eastAsia="仿宋" w:cs="仿宋"/>
          <w:color w:val="auto"/>
          <w:spacing w:val="5"/>
          <w:sz w:val="23"/>
          <w:szCs w:val="23"/>
          <w:highlight w:val="none"/>
        </w:rPr>
        <w:t>方书面要求或同意， 项目负责人不应调整。项目负责人及服务团队成员必须保证在岗工</w:t>
      </w:r>
    </w:p>
    <w:p w14:paraId="3537268A">
      <w:pPr>
        <w:spacing w:before="1" w:line="227" w:lineRule="auto"/>
        <w:ind w:left="12"/>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作时间和重大活动在岗， 如有变化， 须取得甲方同意。</w:t>
      </w:r>
    </w:p>
    <w:p w14:paraId="04F67AFB">
      <w:pPr>
        <w:numPr>
          <w:ilvl w:val="0"/>
          <w:numId w:val="6"/>
        </w:numPr>
        <w:spacing w:before="203" w:line="368" w:lineRule="auto"/>
        <w:ind w:left="12" w:right="63" w:firstLine="51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乙方依本合同约定向甲方提供的报告、资料、文件等内容及服务成果后，甲方</w:t>
      </w:r>
      <w:r>
        <w:rPr>
          <w:rFonts w:hint="eastAsia" w:ascii="仿宋" w:hAnsi="仿宋" w:eastAsia="仿宋" w:cs="仿宋"/>
          <w:color w:val="auto"/>
          <w:spacing w:val="8"/>
          <w:sz w:val="23"/>
          <w:szCs w:val="23"/>
          <w:highlight w:val="none"/>
        </w:rPr>
        <w:t>即对上述内容享有充分、完整和排他的著作权和知识产权。未经甲方书面许可，乙方不得向任何第三方提供上述报告、资料、文件等内容及服务成果。</w:t>
      </w:r>
      <w:r>
        <w:rPr>
          <w:rFonts w:hint="eastAsia" w:ascii="仿宋" w:hAnsi="仿宋" w:eastAsia="仿宋" w:cs="仿宋"/>
          <w:color w:val="auto"/>
          <w:spacing w:val="7"/>
          <w:sz w:val="23"/>
          <w:szCs w:val="23"/>
          <w:highlight w:val="none"/>
        </w:rPr>
        <w:t>即使向履行本合同有关</w:t>
      </w:r>
      <w:r>
        <w:rPr>
          <w:rFonts w:hint="eastAsia" w:ascii="仿宋" w:hAnsi="仿宋" w:eastAsia="仿宋" w:cs="仿宋"/>
          <w:color w:val="auto"/>
          <w:spacing w:val="2"/>
          <w:sz w:val="23"/>
          <w:szCs w:val="23"/>
          <w:highlight w:val="none"/>
        </w:rPr>
        <w:t>的人员提供， 也应注意保密并限于履行合同的必需范围。</w:t>
      </w:r>
    </w:p>
    <w:p w14:paraId="24F80A96">
      <w:pPr>
        <w:spacing w:before="169" w:line="483" w:lineRule="exact"/>
        <w:ind w:left="525"/>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11.乙方审核人员（包括主审、协审人员）应履行保密义务。如</w:t>
      </w:r>
      <w:r>
        <w:rPr>
          <w:rFonts w:hint="eastAsia" w:ascii="仿宋" w:hAnsi="仿宋" w:eastAsia="仿宋" w:cs="仿宋"/>
          <w:color w:val="auto"/>
          <w:spacing w:val="7"/>
          <w:position w:val="18"/>
          <w:sz w:val="23"/>
          <w:szCs w:val="23"/>
          <w:highlight w:val="none"/>
        </w:rPr>
        <w:t>乙方因违反本条约</w:t>
      </w:r>
    </w:p>
    <w:p w14:paraId="693AA0BC">
      <w:pPr>
        <w:spacing w:line="227" w:lineRule="auto"/>
        <w:ind w:left="21"/>
        <w:rPr>
          <w:rFonts w:hint="eastAsia" w:ascii="仿宋" w:hAnsi="仿宋" w:eastAsia="仿宋" w:cs="仿宋"/>
          <w:color w:val="auto"/>
          <w:highlight w:val="none"/>
        </w:rPr>
      </w:pPr>
      <w:r>
        <w:rPr>
          <w:rFonts w:hint="eastAsia" w:ascii="仿宋" w:hAnsi="仿宋" w:eastAsia="仿宋" w:cs="仿宋"/>
          <w:color w:val="auto"/>
          <w:spacing w:val="8"/>
          <w:sz w:val="23"/>
          <w:szCs w:val="23"/>
          <w:highlight w:val="none"/>
        </w:rPr>
        <w:t>定给甲方造成损失的，乙方应当承担相应的法律责任</w:t>
      </w:r>
      <w:r>
        <w:rPr>
          <w:rFonts w:hint="eastAsia" w:ascii="仿宋" w:hAnsi="仿宋" w:eastAsia="仿宋" w:cs="仿宋"/>
          <w:color w:val="auto"/>
          <w:spacing w:val="7"/>
          <w:sz w:val="23"/>
          <w:szCs w:val="23"/>
          <w:highlight w:val="none"/>
        </w:rPr>
        <w:t>，并赔偿由此给甲方造成的一切损</w:t>
      </w:r>
    </w:p>
    <w:p w14:paraId="22BE97DC">
      <w:pPr>
        <w:spacing w:before="75" w:line="229" w:lineRule="auto"/>
        <w:ind w:left="21"/>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失。</w:t>
      </w:r>
    </w:p>
    <w:p w14:paraId="0B9F3A8D">
      <w:pPr>
        <w:numPr>
          <w:ilvl w:val="0"/>
          <w:numId w:val="7"/>
        </w:numPr>
        <w:spacing w:before="199" w:line="370" w:lineRule="auto"/>
        <w:ind w:left="7" w:right="2" w:firstLine="51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乙方应履行回避义务。乙方以及乙方审核人员（包括主审、协审人员）如存在</w:t>
      </w:r>
      <w:r>
        <w:rPr>
          <w:rFonts w:hint="eastAsia" w:ascii="仿宋" w:hAnsi="仿宋" w:eastAsia="仿宋" w:cs="仿宋"/>
          <w:color w:val="auto"/>
          <w:spacing w:val="5"/>
          <w:sz w:val="23"/>
          <w:szCs w:val="23"/>
          <w:highlight w:val="none"/>
        </w:rPr>
        <w:t>可能影响本合同所安排项目审核公正性的情形，应主动告知甲方，并终止本合同或更换</w:t>
      </w:r>
      <w:r>
        <w:rPr>
          <w:rFonts w:hint="eastAsia" w:ascii="仿宋" w:hAnsi="仿宋" w:eastAsia="仿宋" w:cs="仿宋"/>
          <w:color w:val="auto"/>
          <w:spacing w:val="8"/>
          <w:sz w:val="23"/>
          <w:szCs w:val="23"/>
          <w:highlight w:val="none"/>
        </w:rPr>
        <w:t>存在利益关联的审核人员。如果乙方与所审核项目（或该项目的送审单位）存在利益关</w:t>
      </w:r>
      <w:r>
        <w:rPr>
          <w:rFonts w:hint="eastAsia" w:ascii="仿宋" w:hAnsi="仿宋" w:eastAsia="仿宋" w:cs="仿宋"/>
          <w:color w:val="auto"/>
          <w:spacing w:val="13"/>
          <w:sz w:val="23"/>
          <w:szCs w:val="23"/>
          <w:highlight w:val="none"/>
        </w:rPr>
        <w:t xml:space="preserve"> </w:t>
      </w:r>
      <w:r>
        <w:rPr>
          <w:rFonts w:hint="eastAsia" w:ascii="仿宋" w:hAnsi="仿宋" w:eastAsia="仿宋" w:cs="仿宋"/>
          <w:color w:val="auto"/>
          <w:spacing w:val="2"/>
          <w:sz w:val="23"/>
          <w:szCs w:val="23"/>
          <w:highlight w:val="none"/>
        </w:rPr>
        <w:t>联，应主动告知甲方并终止本合同；如果所安排审核人员与所审核项目（或该项目的送</w:t>
      </w:r>
      <w:r>
        <w:rPr>
          <w:rFonts w:hint="eastAsia" w:ascii="仿宋" w:hAnsi="仿宋" w:eastAsia="仿宋" w:cs="仿宋"/>
          <w:color w:val="auto"/>
          <w:spacing w:val="-1"/>
          <w:sz w:val="23"/>
          <w:szCs w:val="23"/>
          <w:highlight w:val="none"/>
        </w:rPr>
        <w:t>审单位）存在利益关联， 应主动告知甲方并更换审核人员。</w:t>
      </w:r>
    </w:p>
    <w:p w14:paraId="44642211">
      <w:pPr>
        <w:spacing w:before="181"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13.有义务要善保管甲方提供的资料，并在审核工作完成后，完整交回</w:t>
      </w:r>
      <w:r>
        <w:rPr>
          <w:rFonts w:hint="eastAsia" w:ascii="仿宋" w:hAnsi="仿宋" w:eastAsia="仿宋" w:cs="仿宋"/>
          <w:color w:val="auto"/>
          <w:spacing w:val="6"/>
          <w:sz w:val="23"/>
          <w:szCs w:val="23"/>
          <w:highlight w:val="none"/>
        </w:rPr>
        <w:t>甲方。</w:t>
      </w:r>
    </w:p>
    <w:p w14:paraId="62EBB5E2">
      <w:pPr>
        <w:spacing w:before="207" w:line="365" w:lineRule="auto"/>
        <w:ind w:left="6" w:right="2" w:firstLine="518"/>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14.乙方应服从甲方对可能委托项目的指派及分配，并了解本项目签订框架协议后</w:t>
      </w:r>
      <w:r>
        <w:rPr>
          <w:rFonts w:hint="eastAsia" w:ascii="仿宋" w:hAnsi="仿宋" w:eastAsia="仿宋" w:cs="仿宋"/>
          <w:color w:val="auto"/>
          <w:spacing w:val="8"/>
          <w:sz w:val="23"/>
          <w:szCs w:val="23"/>
          <w:highlight w:val="none"/>
        </w:rPr>
        <w:t>仅代表取得入审核服务资格，不等问于可确保直接承接相应数量的项目审核工作并获得</w:t>
      </w:r>
      <w:r>
        <w:rPr>
          <w:rFonts w:hint="eastAsia" w:ascii="仿宋" w:hAnsi="仿宋" w:eastAsia="仿宋" w:cs="仿宋"/>
          <w:color w:val="auto"/>
          <w:spacing w:val="7"/>
          <w:sz w:val="23"/>
          <w:szCs w:val="23"/>
          <w:highlight w:val="none"/>
        </w:rPr>
        <w:t>相应项目的服务费用。</w:t>
      </w:r>
    </w:p>
    <w:p w14:paraId="0A5F444D">
      <w:pPr>
        <w:spacing w:before="153" w:line="173" w:lineRule="auto"/>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第九条</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9"/>
          <w:sz w:val="24"/>
          <w:szCs w:val="24"/>
          <w:highlight w:val="none"/>
        </w:rPr>
        <w:t>违约责任</w:t>
      </w:r>
    </w:p>
    <w:p w14:paraId="007DF44F">
      <w:pPr>
        <w:spacing w:before="223" w:line="370" w:lineRule="auto"/>
        <w:ind w:left="12" w:right="2" w:firstLine="505"/>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l.若因乙方原因而未能履行框架协议或未达到框架协议约定的要求， 甲方</w:t>
      </w:r>
      <w:r>
        <w:rPr>
          <w:rFonts w:hint="eastAsia" w:ascii="仿宋" w:hAnsi="仿宋" w:eastAsia="仿宋" w:cs="仿宋"/>
          <w:color w:val="auto"/>
          <w:spacing w:val="3"/>
          <w:sz w:val="23"/>
          <w:szCs w:val="23"/>
          <w:highlight w:val="none"/>
        </w:rPr>
        <w:t>有权书面</w:t>
      </w:r>
      <w:r>
        <w:rPr>
          <w:rFonts w:hint="eastAsia" w:ascii="仿宋" w:hAnsi="仿宋" w:eastAsia="仿宋" w:cs="仿宋"/>
          <w:color w:val="auto"/>
          <w:spacing w:val="5"/>
          <w:sz w:val="23"/>
          <w:szCs w:val="23"/>
          <w:highlight w:val="none"/>
        </w:rPr>
        <w:t>督促乙方履行框架协议， 乙方应在收到甲方书面通知之日起七日内给予书面答复并进行</w:t>
      </w:r>
      <w:r>
        <w:rPr>
          <w:rFonts w:hint="eastAsia" w:ascii="仿宋" w:hAnsi="仿宋" w:eastAsia="仿宋" w:cs="仿宋"/>
          <w:color w:val="auto"/>
          <w:spacing w:val="8"/>
          <w:sz w:val="23"/>
          <w:szCs w:val="23"/>
          <w:highlight w:val="none"/>
        </w:rPr>
        <w:t>整改；如乙方在上述时间未答复，或无故拖延履行框架协议，或经整改后仍未达到甲方要求，甲方有权书面通知乙方解除服务框架协议，且无需支付合同解除后的框架协议后续费用。同时，乙方必须退还甲方已付出的所有服务费用，并赔偿由此给甲方造成的全</w:t>
      </w:r>
      <w:r>
        <w:rPr>
          <w:rFonts w:hint="eastAsia" w:ascii="仿宋" w:hAnsi="仿宋" w:eastAsia="仿宋" w:cs="仿宋"/>
          <w:color w:val="auto"/>
          <w:spacing w:val="2"/>
          <w:sz w:val="23"/>
          <w:szCs w:val="23"/>
          <w:highlight w:val="none"/>
        </w:rPr>
        <w:t>部损失。</w:t>
      </w:r>
    </w:p>
    <w:p w14:paraId="7B6685B2">
      <w:pPr>
        <w:spacing w:before="205" w:line="365" w:lineRule="auto"/>
        <w:ind w:left="18" w:right="16" w:firstLine="47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2.乙方未得到甲方同意，擅自更换项目负责人及服务团队成员时，甲方有权书面通</w:t>
      </w:r>
      <w:r>
        <w:rPr>
          <w:rFonts w:hint="eastAsia" w:ascii="仿宋" w:hAnsi="仿宋" w:eastAsia="仿宋" w:cs="仿宋"/>
          <w:color w:val="auto"/>
          <w:spacing w:val="8"/>
          <w:sz w:val="23"/>
          <w:szCs w:val="23"/>
          <w:highlight w:val="none"/>
        </w:rPr>
        <w:t>知乙方解除服务框架协议，且无需支付框架协议解除后</w:t>
      </w:r>
      <w:r>
        <w:rPr>
          <w:rFonts w:hint="eastAsia" w:ascii="仿宋" w:hAnsi="仿宋" w:eastAsia="仿宋" w:cs="仿宋"/>
          <w:color w:val="auto"/>
          <w:spacing w:val="7"/>
          <w:sz w:val="23"/>
          <w:szCs w:val="23"/>
          <w:highlight w:val="none"/>
        </w:rPr>
        <w:t>的框架协议后续费用。同时，乙</w:t>
      </w:r>
      <w:r>
        <w:rPr>
          <w:rFonts w:hint="eastAsia" w:ascii="仿宋" w:hAnsi="仿宋" w:eastAsia="仿宋" w:cs="仿宋"/>
          <w:color w:val="auto"/>
          <w:spacing w:val="9"/>
          <w:sz w:val="23"/>
          <w:szCs w:val="23"/>
          <w:highlight w:val="none"/>
        </w:rPr>
        <w:t>方必须退还甲方已付出的所有服务费用，并赔偿由此给甲方造成的全部损失。</w:t>
      </w:r>
    </w:p>
    <w:p w14:paraId="212A3DC4">
      <w:pPr>
        <w:spacing w:before="204" w:line="366" w:lineRule="auto"/>
        <w:ind w:left="12" w:right="2" w:firstLine="486"/>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3.乙方或乙方人员违反保密义务时，甲方有权书面通知乙方解除咨询合同，且无需</w:t>
      </w:r>
      <w:r>
        <w:rPr>
          <w:rFonts w:hint="eastAsia" w:ascii="仿宋" w:hAnsi="仿宋" w:eastAsia="仿宋" w:cs="仿宋"/>
          <w:color w:val="auto"/>
          <w:spacing w:val="8"/>
          <w:sz w:val="23"/>
          <w:szCs w:val="23"/>
          <w:highlight w:val="none"/>
        </w:rPr>
        <w:t>支付框架协议解除后的框架协议后续费用。同时，乙方必须退还甲方已付出的所有咨询</w:t>
      </w:r>
      <w:r>
        <w:rPr>
          <w:rFonts w:hint="eastAsia" w:ascii="仿宋" w:hAnsi="仿宋" w:eastAsia="仿宋" w:cs="仿宋"/>
          <w:color w:val="auto"/>
          <w:spacing w:val="6"/>
          <w:sz w:val="23"/>
          <w:szCs w:val="23"/>
          <w:highlight w:val="none"/>
        </w:rPr>
        <w:t>费用，并赔偿由此给甲方造成的全部损失。</w:t>
      </w:r>
    </w:p>
    <w:p w14:paraId="352239FF">
      <w:pPr>
        <w:spacing w:before="166" w:line="482"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4.乙方提供的服务如侵犯了第三方合法权益而引发的任何纠纷或诉讼，均由乙方负</w:t>
      </w:r>
    </w:p>
    <w:p w14:paraId="4B7A0686">
      <w:pPr>
        <w:spacing w:before="1" w:line="227" w:lineRule="auto"/>
        <w:ind w:left="26"/>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责交涉并承担全部责任。</w:t>
      </w:r>
    </w:p>
    <w:p w14:paraId="054F5016">
      <w:pPr>
        <w:spacing w:before="168" w:line="482"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5.乙方出现l次损坏审核资料的，给予警告一次；出现2次损坏审核资料或次丢失审</w:t>
      </w:r>
    </w:p>
    <w:p w14:paraId="101175E5">
      <w:pPr>
        <w:spacing w:before="1" w:line="226" w:lineRule="auto"/>
        <w:ind w:left="14"/>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核资料， 终止框架协议， 并按情节轻重</w:t>
      </w:r>
      <w:r>
        <w:rPr>
          <w:rFonts w:hint="eastAsia" w:ascii="仿宋" w:hAnsi="仿宋" w:eastAsia="仿宋" w:cs="仿宋"/>
          <w:color w:val="auto"/>
          <w:spacing w:val="-3"/>
          <w:sz w:val="23"/>
          <w:szCs w:val="23"/>
          <w:highlight w:val="none"/>
        </w:rPr>
        <w:t>究其责任。</w:t>
      </w:r>
    </w:p>
    <w:p w14:paraId="68B84CD7">
      <w:pPr>
        <w:spacing w:before="166" w:line="485"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6.乙方未按本框架协议和响应文件中规定的服务承诺提供售后服务的，乙方应按本</w:t>
      </w:r>
    </w:p>
    <w:p w14:paraId="50ADE129">
      <w:pPr>
        <w:spacing w:before="1" w:line="227" w:lineRule="auto"/>
        <w:ind w:left="12"/>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合同合计金额5%向甲方支付违约金。</w:t>
      </w:r>
    </w:p>
    <w:p w14:paraId="75056C92">
      <w:pPr>
        <w:spacing w:before="182" w:line="227" w:lineRule="auto"/>
        <w:ind w:left="501"/>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7. 其他违约行为按违约服务成果费用金额 5%收取违约金并赔偿经济损失。</w:t>
      </w:r>
    </w:p>
    <w:p w14:paraId="77480440">
      <w:pPr>
        <w:spacing w:before="182" w:line="227" w:lineRule="auto"/>
        <w:rPr>
          <w:rFonts w:hint="eastAsia" w:ascii="仿宋" w:hAnsi="仿宋" w:eastAsia="仿宋" w:cs="仿宋"/>
          <w:color w:val="auto"/>
          <w:sz w:val="25"/>
          <w:szCs w:val="25"/>
          <w:highlight w:val="none"/>
        </w:rPr>
      </w:pPr>
      <w:r>
        <w:rPr>
          <w:rFonts w:hint="eastAsia" w:ascii="仿宋" w:hAnsi="仿宋" w:eastAsia="仿宋" w:cs="仿宋"/>
          <w:color w:val="auto"/>
          <w:spacing w:val="6"/>
          <w:sz w:val="25"/>
          <w:szCs w:val="25"/>
          <w:highlight w:val="none"/>
        </w:rPr>
        <w:t>第十条不可抗力事件处理</w:t>
      </w:r>
    </w:p>
    <w:p w14:paraId="1F5428F6">
      <w:pPr>
        <w:spacing w:before="180" w:line="483" w:lineRule="exact"/>
        <w:ind w:left="525"/>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1.在合同有效期内，任何一方因不可抗力事件导致不能履行框架协议，则框架协议</w:t>
      </w:r>
    </w:p>
    <w:p w14:paraId="00D78157">
      <w:pPr>
        <w:spacing w:line="227" w:lineRule="auto"/>
        <w:ind w:left="17"/>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履行期可延长，其延长期与不可抗力影响期</w:t>
      </w:r>
      <w:r>
        <w:rPr>
          <w:rFonts w:hint="eastAsia" w:ascii="仿宋" w:hAnsi="仿宋" w:eastAsia="仿宋" w:cs="仿宋"/>
          <w:color w:val="auto"/>
          <w:spacing w:val="7"/>
          <w:sz w:val="23"/>
          <w:szCs w:val="23"/>
          <w:highlight w:val="none"/>
        </w:rPr>
        <w:t>相同 。</w:t>
      </w:r>
    </w:p>
    <w:p w14:paraId="10A68298">
      <w:pPr>
        <w:spacing w:before="184" w:line="227" w:lineRule="auto"/>
        <w:ind w:left="494"/>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2. 不可抗力事件发生后，应立即通知对方，并寄送有关权威机构出</w:t>
      </w:r>
      <w:r>
        <w:rPr>
          <w:rFonts w:hint="eastAsia" w:ascii="仿宋" w:hAnsi="仿宋" w:eastAsia="仿宋" w:cs="仿宋"/>
          <w:color w:val="auto"/>
          <w:spacing w:val="7"/>
          <w:sz w:val="23"/>
          <w:szCs w:val="23"/>
          <w:highlight w:val="none"/>
        </w:rPr>
        <w:t>具的证明。</w:t>
      </w:r>
    </w:p>
    <w:p w14:paraId="4C0A6AA2">
      <w:pPr>
        <w:spacing w:before="181" w:line="227" w:lineRule="auto"/>
        <w:ind w:left="498"/>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 不可抗力事件延续三十天以上，双方应</w:t>
      </w:r>
      <w:r>
        <w:rPr>
          <w:rFonts w:hint="eastAsia" w:ascii="仿宋" w:hAnsi="仿宋" w:eastAsia="仿宋" w:cs="仿宋"/>
          <w:color w:val="auto"/>
          <w:spacing w:val="6"/>
          <w:sz w:val="23"/>
          <w:szCs w:val="23"/>
          <w:highlight w:val="none"/>
        </w:rPr>
        <w:t>通过友好协商，确定是否继续履行合同。</w:t>
      </w:r>
    </w:p>
    <w:p w14:paraId="35C6FE15">
      <w:pPr>
        <w:spacing w:before="155" w:line="173" w:lineRule="auto"/>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第十一条</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8"/>
          <w:sz w:val="24"/>
          <w:szCs w:val="24"/>
          <w:highlight w:val="none"/>
        </w:rPr>
        <w:t>争议解决</w:t>
      </w:r>
    </w:p>
    <w:p w14:paraId="618E6633">
      <w:pPr>
        <w:spacing w:before="217" w:line="366" w:lineRule="auto"/>
        <w:ind w:left="18" w:right="128" w:firstLine="504"/>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1.因服务成果质量问题发生争议的，应邀请国家认定的评估机构按照标准对服务成果质量进行验收。服务成果符合标准的，鉴定费由甲方承担；服务成果不符合标准的，</w:t>
      </w:r>
    </w:p>
    <w:p w14:paraId="1B43C54C">
      <w:pPr>
        <w:spacing w:line="227" w:lineRule="auto"/>
        <w:ind w:left="14"/>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鉴定费由乙方承担。</w:t>
      </w:r>
    </w:p>
    <w:p w14:paraId="22ECD949">
      <w:pPr>
        <w:spacing w:before="166" w:line="482"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5"/>
          <w:position w:val="18"/>
          <w:sz w:val="23"/>
          <w:szCs w:val="23"/>
          <w:highlight w:val="none"/>
        </w:rPr>
        <w:t>2.因履行本合同引起的或与本合同有关的争议，甲乙双方应首先通过友好</w:t>
      </w:r>
      <w:r>
        <w:rPr>
          <w:rFonts w:hint="eastAsia" w:ascii="仿宋" w:hAnsi="仿宋" w:eastAsia="仿宋" w:cs="仿宋"/>
          <w:color w:val="auto"/>
          <w:spacing w:val="4"/>
          <w:position w:val="18"/>
          <w:sz w:val="23"/>
          <w:szCs w:val="23"/>
          <w:highlight w:val="none"/>
        </w:rPr>
        <w:t>协商解决，</w:t>
      </w:r>
    </w:p>
    <w:p w14:paraId="55B2A71C">
      <w:pPr>
        <w:spacing w:before="1" w:line="227" w:lineRule="auto"/>
        <w:ind w:left="17"/>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如果协商不能解决，可向甲方所在地人民法院在提起诉讼。</w:t>
      </w:r>
    </w:p>
    <w:p w14:paraId="0C02DCDC">
      <w:pPr>
        <w:spacing w:before="184" w:line="227" w:lineRule="auto"/>
        <w:ind w:left="498"/>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3.诉讼期间，本框架协议继续履行。</w:t>
      </w:r>
    </w:p>
    <w:p w14:paraId="2AC116A7">
      <w:pPr>
        <w:spacing w:before="153" w:line="173" w:lineRule="auto"/>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第十二条</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9"/>
          <w:sz w:val="24"/>
          <w:szCs w:val="24"/>
          <w:highlight w:val="none"/>
        </w:rPr>
        <w:t>其他</w:t>
      </w:r>
    </w:p>
    <w:p w14:paraId="30D6C799">
      <w:pPr>
        <w:spacing w:before="199" w:line="227" w:lineRule="auto"/>
        <w:ind w:left="52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1.本协议原则上由双方代表人签订并加盖单位公章后生效。</w:t>
      </w:r>
    </w:p>
    <w:p w14:paraId="32440A42">
      <w:pPr>
        <w:spacing w:before="168" w:line="483" w:lineRule="exact"/>
        <w:ind w:left="494"/>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2.本协议为框架协议，具体项目具体事宜需在采购合同中进一步予以明确。框架协</w:t>
      </w:r>
    </w:p>
    <w:p w14:paraId="30771718">
      <w:pPr>
        <w:spacing w:before="1" w:line="226" w:lineRule="auto"/>
        <w:ind w:left="13"/>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议与采购合同构成不可分割的整体。</w:t>
      </w:r>
    </w:p>
    <w:p w14:paraId="598ABFCC">
      <w:pPr>
        <w:spacing w:before="185" w:line="227" w:lineRule="auto"/>
        <w:ind w:left="498"/>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3.本协议一式五份，双方各执二份，采购代理机构一份，具有同等法律效力 。</w:t>
      </w:r>
    </w:p>
    <w:p w14:paraId="5D81426A">
      <w:pPr>
        <w:spacing w:before="78"/>
        <w:rPr>
          <w:rFonts w:hint="eastAsia" w:ascii="仿宋" w:hAnsi="仿宋" w:eastAsia="仿宋" w:cs="仿宋"/>
          <w:color w:val="auto"/>
          <w:highlight w:val="none"/>
        </w:rPr>
      </w:pPr>
    </w:p>
    <w:p w14:paraId="56693F37">
      <w:pPr>
        <w:spacing w:before="78"/>
        <w:rPr>
          <w:rFonts w:hint="eastAsia" w:ascii="仿宋" w:hAnsi="仿宋" w:eastAsia="仿宋" w:cs="仿宋"/>
          <w:color w:val="auto"/>
          <w:highlight w:val="none"/>
        </w:rPr>
      </w:pPr>
    </w:p>
    <w:p w14:paraId="4C9B12B5">
      <w:pPr>
        <w:spacing w:before="78"/>
        <w:rPr>
          <w:rFonts w:hint="eastAsia" w:ascii="仿宋" w:hAnsi="仿宋" w:eastAsia="仿宋" w:cs="仿宋"/>
          <w:color w:val="auto"/>
          <w:highlight w:val="none"/>
        </w:rPr>
      </w:pPr>
    </w:p>
    <w:tbl>
      <w:tblPr>
        <w:tblStyle w:val="20"/>
        <w:tblW w:w="8699" w:type="dxa"/>
        <w:jc w:val="center"/>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64"/>
        <w:gridCol w:w="2639"/>
        <w:gridCol w:w="3996"/>
      </w:tblGrid>
      <w:tr w14:paraId="0D2C065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77" w:hRule="atLeast"/>
          <w:jc w:val="center"/>
        </w:trPr>
        <w:tc>
          <w:tcPr>
            <w:tcW w:w="2064" w:type="dxa"/>
            <w:vAlign w:val="top"/>
          </w:tcPr>
          <w:p w14:paraId="7EDC97E1">
            <w:pPr>
              <w:pStyle w:val="21"/>
              <w:spacing w:before="2" w:line="228" w:lineRule="auto"/>
              <w:ind w:left="4"/>
              <w:rPr>
                <w:rFonts w:hint="eastAsia" w:ascii="仿宋" w:hAnsi="仿宋" w:eastAsia="仿宋" w:cs="仿宋"/>
                <w:color w:val="auto"/>
                <w:highlight w:val="none"/>
              </w:rPr>
            </w:pPr>
            <w:r>
              <w:rPr>
                <w:rFonts w:hint="eastAsia" w:ascii="仿宋" w:hAnsi="仿宋" w:eastAsia="仿宋" w:cs="仿宋"/>
                <w:color w:val="auto"/>
                <w:spacing w:val="6"/>
                <w:highlight w:val="none"/>
              </w:rPr>
              <w:t>协议甲方名称</w:t>
            </w:r>
          </w:p>
          <w:p w14:paraId="7771872D">
            <w:pPr>
              <w:spacing w:line="425" w:lineRule="auto"/>
              <w:rPr>
                <w:rFonts w:hint="eastAsia" w:ascii="仿宋" w:hAnsi="仿宋" w:eastAsia="仿宋" w:cs="仿宋"/>
                <w:color w:val="auto"/>
                <w:sz w:val="21"/>
                <w:highlight w:val="none"/>
              </w:rPr>
            </w:pPr>
          </w:p>
          <w:p w14:paraId="23AE62F5">
            <w:pPr>
              <w:pStyle w:val="21"/>
              <w:spacing w:before="75" w:line="237" w:lineRule="auto"/>
              <w:rPr>
                <w:rFonts w:hint="eastAsia" w:ascii="仿宋" w:hAnsi="仿宋" w:eastAsia="仿宋" w:cs="仿宋"/>
                <w:color w:val="auto"/>
                <w:highlight w:val="none"/>
              </w:rPr>
            </w:pPr>
            <w:r>
              <w:rPr>
                <w:rFonts w:hint="eastAsia" w:ascii="仿宋" w:hAnsi="仿宋" w:eastAsia="仿宋" w:cs="仿宋"/>
                <w:color w:val="auto"/>
                <w:spacing w:val="1"/>
                <w:highlight w:val="none"/>
              </w:rPr>
              <w:t>地址：</w:t>
            </w:r>
          </w:p>
        </w:tc>
        <w:tc>
          <w:tcPr>
            <w:tcW w:w="2639" w:type="dxa"/>
            <w:vAlign w:val="top"/>
          </w:tcPr>
          <w:p w14:paraId="40C2E52D">
            <w:pPr>
              <w:pStyle w:val="21"/>
              <w:spacing w:line="226" w:lineRule="auto"/>
              <w:rPr>
                <w:rFonts w:hint="eastAsia" w:ascii="仿宋" w:hAnsi="仿宋" w:eastAsia="仿宋" w:cs="仿宋"/>
                <w:color w:val="auto"/>
                <w:highlight w:val="none"/>
              </w:rPr>
            </w:pPr>
            <w:r>
              <w:rPr>
                <w:rFonts w:hint="eastAsia" w:ascii="仿宋" w:hAnsi="仿宋" w:eastAsia="仿宋" w:cs="仿宋"/>
                <w:color w:val="auto"/>
                <w:spacing w:val="-14"/>
                <w:highlight w:val="none"/>
              </w:rPr>
              <w:t>（盖章</w:t>
            </w:r>
            <w:r>
              <w:rPr>
                <w:rFonts w:hint="eastAsia" w:ascii="仿宋" w:hAnsi="仿宋" w:eastAsia="仿宋" w:cs="仿宋"/>
                <w:color w:val="auto"/>
                <w:spacing w:val="-9"/>
                <w:highlight w:val="none"/>
              </w:rPr>
              <w:t>）：</w:t>
            </w:r>
          </w:p>
        </w:tc>
        <w:tc>
          <w:tcPr>
            <w:tcW w:w="3996" w:type="dxa"/>
            <w:vAlign w:val="top"/>
          </w:tcPr>
          <w:p w14:paraId="667AFDBF">
            <w:pPr>
              <w:pStyle w:val="21"/>
              <w:spacing w:line="226" w:lineRule="auto"/>
              <w:jc w:val="left"/>
              <w:rPr>
                <w:rFonts w:hint="eastAsia" w:ascii="仿宋" w:hAnsi="仿宋" w:eastAsia="仿宋" w:cs="仿宋"/>
                <w:color w:val="auto"/>
                <w:highlight w:val="none"/>
              </w:rPr>
            </w:pPr>
            <w:r>
              <w:rPr>
                <w:rFonts w:hint="eastAsia" w:ascii="仿宋" w:hAnsi="仿宋" w:eastAsia="仿宋" w:cs="仿宋"/>
                <w:color w:val="auto"/>
                <w:spacing w:val="-14"/>
                <w:highlight w:val="none"/>
              </w:rPr>
              <w:t>协议乙方</w:t>
            </w:r>
            <w:r>
              <w:rPr>
                <w:rFonts w:hint="eastAsia" w:ascii="仿宋" w:hAnsi="仿宋" w:eastAsia="仿宋" w:cs="仿宋"/>
                <w:color w:val="auto"/>
                <w:spacing w:val="-29"/>
                <w:highlight w:val="none"/>
              </w:rPr>
              <w:t xml:space="preserve"> </w:t>
            </w:r>
            <w:r>
              <w:rPr>
                <w:rFonts w:hint="eastAsia" w:ascii="仿宋" w:hAnsi="仿宋" w:eastAsia="仿宋" w:cs="仿宋"/>
                <w:color w:val="auto"/>
                <w:spacing w:val="-14"/>
                <w:highlight w:val="none"/>
              </w:rPr>
              <w:t>（盖章</w:t>
            </w:r>
            <w:r>
              <w:rPr>
                <w:rFonts w:hint="eastAsia" w:ascii="仿宋" w:hAnsi="仿宋" w:eastAsia="仿宋" w:cs="仿宋"/>
                <w:color w:val="auto"/>
                <w:spacing w:val="-57"/>
                <w:highlight w:val="none"/>
              </w:rPr>
              <w:t>）：</w:t>
            </w:r>
          </w:p>
          <w:p w14:paraId="20C64D6A">
            <w:pPr>
              <w:spacing w:line="427" w:lineRule="auto"/>
              <w:jc w:val="left"/>
              <w:rPr>
                <w:rFonts w:hint="eastAsia" w:ascii="仿宋" w:hAnsi="仿宋" w:eastAsia="仿宋" w:cs="仿宋"/>
                <w:color w:val="auto"/>
                <w:sz w:val="21"/>
                <w:highlight w:val="none"/>
              </w:rPr>
            </w:pPr>
          </w:p>
          <w:p w14:paraId="1197163F">
            <w:pPr>
              <w:pStyle w:val="21"/>
              <w:spacing w:before="74" w:line="237" w:lineRule="auto"/>
              <w:jc w:val="left"/>
              <w:rPr>
                <w:rFonts w:hint="eastAsia" w:ascii="仿宋" w:hAnsi="仿宋" w:eastAsia="仿宋" w:cs="仿宋"/>
                <w:color w:val="auto"/>
                <w:highlight w:val="none"/>
              </w:rPr>
            </w:pPr>
            <w:r>
              <w:rPr>
                <w:rFonts w:hint="eastAsia" w:ascii="仿宋" w:hAnsi="仿宋" w:eastAsia="仿宋" w:cs="仿宋"/>
                <w:color w:val="auto"/>
                <w:spacing w:val="1"/>
                <w:highlight w:val="none"/>
              </w:rPr>
              <w:t>地址：</w:t>
            </w:r>
          </w:p>
        </w:tc>
      </w:tr>
      <w:tr w14:paraId="7FCE22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22" w:hRule="atLeast"/>
          <w:jc w:val="center"/>
        </w:trPr>
        <w:tc>
          <w:tcPr>
            <w:tcW w:w="2064" w:type="dxa"/>
            <w:vAlign w:val="top"/>
          </w:tcPr>
          <w:p w14:paraId="49C11BFA">
            <w:pPr>
              <w:pStyle w:val="21"/>
              <w:spacing w:before="265" w:line="229" w:lineRule="auto"/>
              <w:ind w:left="4"/>
              <w:rPr>
                <w:rFonts w:hint="eastAsia" w:ascii="仿宋" w:hAnsi="仿宋" w:eastAsia="仿宋" w:cs="仿宋"/>
                <w:color w:val="auto"/>
                <w:highlight w:val="none"/>
              </w:rPr>
            </w:pPr>
            <w:r>
              <w:rPr>
                <w:rFonts w:hint="eastAsia" w:ascii="仿宋" w:hAnsi="仿宋" w:eastAsia="仿宋" w:cs="仿宋"/>
                <w:color w:val="auto"/>
                <w:spacing w:val="4"/>
                <w:highlight w:val="none"/>
              </w:rPr>
              <w:t>联系方式：</w:t>
            </w:r>
          </w:p>
        </w:tc>
        <w:tc>
          <w:tcPr>
            <w:tcW w:w="2639" w:type="dxa"/>
            <w:vAlign w:val="top"/>
          </w:tcPr>
          <w:p w14:paraId="340CB738">
            <w:pPr>
              <w:rPr>
                <w:rFonts w:hint="eastAsia" w:ascii="仿宋" w:hAnsi="仿宋" w:eastAsia="仿宋" w:cs="仿宋"/>
                <w:color w:val="auto"/>
                <w:sz w:val="21"/>
                <w:highlight w:val="none"/>
              </w:rPr>
            </w:pPr>
          </w:p>
        </w:tc>
        <w:tc>
          <w:tcPr>
            <w:tcW w:w="3996" w:type="dxa"/>
            <w:vAlign w:val="top"/>
          </w:tcPr>
          <w:p w14:paraId="7F37D673">
            <w:pPr>
              <w:pStyle w:val="21"/>
              <w:spacing w:before="265" w:line="229" w:lineRule="auto"/>
              <w:jc w:val="left"/>
              <w:rPr>
                <w:rFonts w:hint="eastAsia" w:ascii="仿宋" w:hAnsi="仿宋" w:eastAsia="仿宋" w:cs="仿宋"/>
                <w:color w:val="auto"/>
                <w:highlight w:val="none"/>
              </w:rPr>
            </w:pPr>
            <w:r>
              <w:rPr>
                <w:rFonts w:hint="eastAsia" w:ascii="仿宋" w:hAnsi="仿宋" w:eastAsia="仿宋" w:cs="仿宋"/>
                <w:color w:val="auto"/>
                <w:spacing w:val="4"/>
                <w:highlight w:val="none"/>
              </w:rPr>
              <w:t>联系方式：</w:t>
            </w:r>
          </w:p>
        </w:tc>
      </w:tr>
      <w:tr w14:paraId="08C58BE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3" w:hRule="atLeast"/>
          <w:jc w:val="center"/>
        </w:trPr>
        <w:tc>
          <w:tcPr>
            <w:tcW w:w="2064" w:type="dxa"/>
            <w:vAlign w:val="top"/>
          </w:tcPr>
          <w:p w14:paraId="739D13C2">
            <w:pPr>
              <w:pStyle w:val="21"/>
              <w:spacing w:before="268" w:line="227" w:lineRule="auto"/>
              <w:rPr>
                <w:rFonts w:hint="eastAsia" w:ascii="仿宋" w:hAnsi="仿宋" w:eastAsia="仿宋" w:cs="仿宋"/>
                <w:color w:val="auto"/>
                <w:highlight w:val="none"/>
              </w:rPr>
            </w:pPr>
            <w:r>
              <w:rPr>
                <w:rFonts w:hint="eastAsia" w:ascii="仿宋" w:hAnsi="仿宋" w:eastAsia="仿宋" w:cs="仿宋"/>
                <w:color w:val="auto"/>
                <w:spacing w:val="4"/>
                <w:highlight w:val="none"/>
              </w:rPr>
              <w:t>代表签字 ：</w:t>
            </w:r>
          </w:p>
        </w:tc>
        <w:tc>
          <w:tcPr>
            <w:tcW w:w="2639" w:type="dxa"/>
            <w:vAlign w:val="top"/>
          </w:tcPr>
          <w:p w14:paraId="49EBA970">
            <w:pPr>
              <w:rPr>
                <w:rFonts w:hint="eastAsia" w:ascii="仿宋" w:hAnsi="仿宋" w:eastAsia="仿宋" w:cs="仿宋"/>
                <w:color w:val="auto"/>
                <w:sz w:val="21"/>
                <w:highlight w:val="none"/>
              </w:rPr>
            </w:pPr>
          </w:p>
        </w:tc>
        <w:tc>
          <w:tcPr>
            <w:tcW w:w="3996" w:type="dxa"/>
            <w:vAlign w:val="top"/>
          </w:tcPr>
          <w:p w14:paraId="11E35138">
            <w:pPr>
              <w:pStyle w:val="21"/>
              <w:spacing w:before="268" w:line="227" w:lineRule="auto"/>
              <w:jc w:val="left"/>
              <w:rPr>
                <w:rFonts w:hint="eastAsia" w:ascii="仿宋" w:hAnsi="仿宋" w:eastAsia="仿宋" w:cs="仿宋"/>
                <w:color w:val="auto"/>
                <w:highlight w:val="none"/>
              </w:rPr>
            </w:pPr>
            <w:r>
              <w:rPr>
                <w:rFonts w:hint="eastAsia" w:ascii="仿宋" w:hAnsi="仿宋" w:eastAsia="仿宋" w:cs="仿宋"/>
                <w:color w:val="auto"/>
                <w:spacing w:val="4"/>
                <w:highlight w:val="none"/>
              </w:rPr>
              <w:t>代表签字 ：</w:t>
            </w:r>
          </w:p>
        </w:tc>
      </w:tr>
      <w:tr w14:paraId="7BCB2D9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8" w:hRule="atLeast"/>
          <w:jc w:val="center"/>
        </w:trPr>
        <w:tc>
          <w:tcPr>
            <w:tcW w:w="4703" w:type="dxa"/>
            <w:gridSpan w:val="2"/>
            <w:vAlign w:val="top"/>
          </w:tcPr>
          <w:p w14:paraId="61E192D1">
            <w:pPr>
              <w:pStyle w:val="21"/>
              <w:spacing w:before="247" w:line="184" w:lineRule="auto"/>
              <w:ind w:left="85"/>
              <w:jc w:val="right"/>
              <w:rPr>
                <w:rFonts w:hint="eastAsia" w:ascii="仿宋" w:hAnsi="仿宋" w:eastAsia="仿宋" w:cs="仿宋"/>
                <w:color w:val="auto"/>
                <w:highlight w:val="none"/>
              </w:rPr>
            </w:pPr>
            <w:r>
              <w:rPr>
                <w:rFonts w:hint="eastAsia" w:ascii="仿宋" w:hAnsi="仿宋" w:eastAsia="仿宋" w:cs="仿宋"/>
                <w:color w:val="auto"/>
                <w:spacing w:val="-11"/>
                <w:highlight w:val="none"/>
              </w:rPr>
              <w:t>日</w:t>
            </w:r>
            <w:r>
              <w:rPr>
                <w:rFonts w:hint="eastAsia" w:ascii="仿宋" w:hAnsi="仿宋" w:eastAsia="仿宋" w:cs="仿宋"/>
                <w:color w:val="auto"/>
                <w:spacing w:val="14"/>
                <w:highlight w:val="none"/>
              </w:rPr>
              <w:t xml:space="preserve"> </w:t>
            </w:r>
            <w:r>
              <w:rPr>
                <w:rFonts w:hint="eastAsia" w:ascii="仿宋" w:hAnsi="仿宋" w:eastAsia="仿宋" w:cs="仿宋"/>
                <w:color w:val="auto"/>
                <w:spacing w:val="-11"/>
                <w:highlight w:val="none"/>
              </w:rPr>
              <w:t>期：</w:t>
            </w:r>
            <w:r>
              <w:rPr>
                <w:rFonts w:hint="eastAsia" w:ascii="仿宋" w:hAnsi="仿宋" w:eastAsia="仿宋" w:cs="仿宋"/>
                <w:color w:val="auto"/>
                <w:spacing w:val="15"/>
                <w:highlight w:val="none"/>
              </w:rPr>
              <w:t xml:space="preserve"> </w:t>
            </w:r>
            <w:r>
              <w:rPr>
                <w:rFonts w:hint="eastAsia" w:ascii="仿宋" w:hAnsi="仿宋" w:eastAsia="仿宋" w:cs="仿宋"/>
                <w:color w:val="auto"/>
                <w:spacing w:val="-11"/>
                <w:highlight w:val="none"/>
              </w:rPr>
              <w:t>年</w:t>
            </w:r>
            <w:r>
              <w:rPr>
                <w:rFonts w:hint="eastAsia" w:ascii="仿宋" w:hAnsi="仿宋" w:eastAsia="仿宋" w:cs="仿宋"/>
                <w:color w:val="auto"/>
                <w:spacing w:val="20"/>
                <w:highlight w:val="none"/>
              </w:rPr>
              <w:t xml:space="preserve"> </w:t>
            </w:r>
            <w:r>
              <w:rPr>
                <w:rFonts w:hint="eastAsia" w:ascii="仿宋" w:hAnsi="仿宋" w:eastAsia="仿宋" w:cs="仿宋"/>
                <w:color w:val="auto"/>
                <w:spacing w:val="-11"/>
                <w:highlight w:val="none"/>
              </w:rPr>
              <w:t>月</w:t>
            </w:r>
            <w:r>
              <w:rPr>
                <w:rFonts w:hint="eastAsia" w:ascii="仿宋" w:hAnsi="仿宋" w:eastAsia="仿宋" w:cs="仿宋"/>
                <w:color w:val="auto"/>
                <w:spacing w:val="-11"/>
                <w:highlight w:val="none"/>
                <w:lang w:val="en-US" w:eastAsia="zh-CN"/>
              </w:rPr>
              <w:t xml:space="preserve">  </w:t>
            </w:r>
            <w:r>
              <w:rPr>
                <w:rFonts w:hint="eastAsia" w:ascii="仿宋" w:hAnsi="仿宋" w:eastAsia="仿宋" w:cs="仿宋"/>
                <w:color w:val="auto"/>
                <w:highlight w:val="none"/>
              </w:rPr>
              <w:t>日</w:t>
            </w:r>
          </w:p>
        </w:tc>
        <w:tc>
          <w:tcPr>
            <w:tcW w:w="3996" w:type="dxa"/>
            <w:vAlign w:val="top"/>
          </w:tcPr>
          <w:p w14:paraId="06FE489E">
            <w:pPr>
              <w:pStyle w:val="21"/>
              <w:spacing w:before="247" w:line="184" w:lineRule="auto"/>
              <w:ind w:right="4"/>
              <w:jc w:val="right"/>
              <w:rPr>
                <w:rFonts w:hint="eastAsia" w:ascii="仿宋" w:hAnsi="仿宋" w:eastAsia="仿宋" w:cs="仿宋"/>
                <w:color w:val="auto"/>
                <w:highlight w:val="none"/>
              </w:rPr>
            </w:pPr>
            <w:r>
              <w:rPr>
                <w:rFonts w:hint="eastAsia" w:ascii="仿宋" w:hAnsi="仿宋" w:eastAsia="仿宋" w:cs="仿宋"/>
                <w:color w:val="auto"/>
                <w:spacing w:val="-10"/>
                <w:highlight w:val="none"/>
              </w:rPr>
              <w:t>日</w:t>
            </w:r>
            <w:r>
              <w:rPr>
                <w:rFonts w:hint="eastAsia" w:ascii="仿宋" w:hAnsi="仿宋" w:eastAsia="仿宋" w:cs="仿宋"/>
                <w:color w:val="auto"/>
                <w:spacing w:val="12"/>
                <w:highlight w:val="none"/>
              </w:rPr>
              <w:t xml:space="preserve"> </w:t>
            </w:r>
            <w:r>
              <w:rPr>
                <w:rFonts w:hint="eastAsia" w:ascii="仿宋" w:hAnsi="仿宋" w:eastAsia="仿宋" w:cs="仿宋"/>
                <w:color w:val="auto"/>
                <w:spacing w:val="-10"/>
                <w:highlight w:val="none"/>
              </w:rPr>
              <w:t>期：</w:t>
            </w:r>
            <w:r>
              <w:rPr>
                <w:rFonts w:hint="eastAsia" w:ascii="仿宋" w:hAnsi="仿宋" w:eastAsia="仿宋" w:cs="仿宋"/>
                <w:color w:val="auto"/>
                <w:spacing w:val="17"/>
                <w:highlight w:val="none"/>
              </w:rPr>
              <w:t xml:space="preserve"> </w:t>
            </w:r>
            <w:r>
              <w:rPr>
                <w:rFonts w:hint="eastAsia" w:ascii="仿宋" w:hAnsi="仿宋" w:eastAsia="仿宋" w:cs="仿宋"/>
                <w:color w:val="auto"/>
                <w:spacing w:val="-10"/>
                <w:highlight w:val="none"/>
              </w:rPr>
              <w:t>年</w:t>
            </w:r>
            <w:r>
              <w:rPr>
                <w:rFonts w:hint="eastAsia" w:ascii="仿宋" w:hAnsi="仿宋" w:eastAsia="仿宋" w:cs="仿宋"/>
                <w:color w:val="auto"/>
                <w:spacing w:val="20"/>
                <w:highlight w:val="none"/>
              </w:rPr>
              <w:t xml:space="preserve"> </w:t>
            </w:r>
            <w:r>
              <w:rPr>
                <w:rFonts w:hint="eastAsia" w:ascii="仿宋" w:hAnsi="仿宋" w:eastAsia="仿宋" w:cs="仿宋"/>
                <w:color w:val="auto"/>
                <w:spacing w:val="-10"/>
                <w:highlight w:val="none"/>
              </w:rPr>
              <w:t>月</w:t>
            </w:r>
            <w:r>
              <w:rPr>
                <w:rFonts w:hint="eastAsia" w:ascii="仿宋" w:hAnsi="仿宋" w:eastAsia="仿宋" w:cs="仿宋"/>
                <w:color w:val="auto"/>
                <w:spacing w:val="91"/>
                <w:highlight w:val="none"/>
              </w:rPr>
              <w:t xml:space="preserve"> </w:t>
            </w:r>
            <w:r>
              <w:rPr>
                <w:rFonts w:hint="eastAsia" w:ascii="仿宋" w:hAnsi="仿宋" w:eastAsia="仿宋" w:cs="仿宋"/>
                <w:color w:val="auto"/>
                <w:spacing w:val="-10"/>
                <w:highlight w:val="none"/>
              </w:rPr>
              <w:t>日</w:t>
            </w:r>
          </w:p>
        </w:tc>
      </w:tr>
    </w:tbl>
    <w:p w14:paraId="5E14EF2F">
      <w:pPr>
        <w:rPr>
          <w:rFonts w:hint="eastAsia" w:ascii="仿宋" w:hAnsi="仿宋" w:eastAsia="仿宋" w:cs="仿宋"/>
          <w:color w:val="auto"/>
          <w:highlight w:val="none"/>
        </w:rPr>
        <w:sectPr>
          <w:footerReference r:id="rId14" w:type="default"/>
          <w:pgSz w:w="11905" w:h="16838"/>
          <w:pgMar w:top="1020" w:right="1134" w:bottom="1020" w:left="1134" w:header="0" w:footer="573" w:gutter="0"/>
          <w:pgNumType w:fmt="decimal"/>
          <w:cols w:space="0" w:num="1"/>
          <w:rtlGutter w:val="0"/>
          <w:docGrid w:linePitch="0" w:charSpace="0"/>
        </w:sectPr>
      </w:pPr>
    </w:p>
    <w:p w14:paraId="50A52B23">
      <w:pPr>
        <w:spacing w:before="75"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附件</w:t>
      </w:r>
      <w:r>
        <w:rPr>
          <w:rFonts w:hint="eastAsia" w:ascii="仿宋" w:hAnsi="仿宋" w:eastAsia="仿宋" w:cs="仿宋"/>
          <w:color w:val="auto"/>
          <w:spacing w:val="42"/>
          <w:sz w:val="23"/>
          <w:szCs w:val="23"/>
          <w:highlight w:val="none"/>
        </w:rPr>
        <w:t xml:space="preserve"> </w:t>
      </w:r>
      <w:r>
        <w:rPr>
          <w:rFonts w:hint="eastAsia" w:ascii="仿宋" w:hAnsi="仿宋" w:eastAsia="仿宋" w:cs="仿宋"/>
          <w:color w:val="auto"/>
          <w:spacing w:val="-6"/>
          <w:sz w:val="23"/>
          <w:szCs w:val="23"/>
          <w:highlight w:val="none"/>
        </w:rPr>
        <w:t>l</w:t>
      </w:r>
    </w:p>
    <w:p w14:paraId="1F2A7A29">
      <w:pPr>
        <w:spacing w:before="213" w:line="225" w:lineRule="auto"/>
        <w:ind w:left="3500"/>
        <w:rPr>
          <w:rFonts w:hint="eastAsia" w:ascii="仿宋" w:hAnsi="仿宋" w:eastAsia="仿宋" w:cs="仿宋"/>
          <w:color w:val="auto"/>
          <w:sz w:val="34"/>
          <w:szCs w:val="34"/>
          <w:highlight w:val="none"/>
        </w:rPr>
      </w:pPr>
      <w:r>
        <w:rPr>
          <w:rFonts w:hint="eastAsia" w:ascii="仿宋" w:hAnsi="仿宋" w:eastAsia="仿宋" w:cs="仿宋"/>
          <w:color w:val="auto"/>
          <w:spacing w:val="13"/>
          <w:sz w:val="34"/>
          <w:szCs w:val="34"/>
          <w:highlight w:val="none"/>
        </w:rPr>
        <w:t>廉洁诚信协议</w:t>
      </w:r>
    </w:p>
    <w:p w14:paraId="0459781F">
      <w:pPr>
        <w:spacing w:before="237" w:line="485" w:lineRule="exact"/>
        <w:ind w:left="99"/>
        <w:rPr>
          <w:rFonts w:hint="eastAsia" w:ascii="仿宋" w:hAnsi="仿宋" w:eastAsia="仿宋" w:cs="仿宋"/>
          <w:color w:val="auto"/>
          <w:sz w:val="23"/>
          <w:szCs w:val="23"/>
          <w:highlight w:val="none"/>
        </w:rPr>
      </w:pPr>
      <w:r>
        <w:rPr>
          <w:rFonts w:hint="eastAsia" w:ascii="仿宋" w:hAnsi="仿宋" w:eastAsia="仿宋" w:cs="仿宋"/>
          <w:color w:val="auto"/>
          <w:spacing w:val="-12"/>
          <w:position w:val="19"/>
          <w:sz w:val="23"/>
          <w:szCs w:val="23"/>
          <w:highlight w:val="none"/>
        </w:rPr>
        <w:t>甲方：</w:t>
      </w:r>
    </w:p>
    <w:p w14:paraId="6188E724">
      <w:pPr>
        <w:spacing w:line="228" w:lineRule="auto"/>
        <w:ind w:left="84"/>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乙方：</w:t>
      </w:r>
    </w:p>
    <w:p w14:paraId="0942CDC7">
      <w:pPr>
        <w:spacing w:before="199" w:line="365" w:lineRule="auto"/>
        <w:ind w:left="36" w:firstLine="485"/>
        <w:jc w:val="both"/>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为保障甲方与乙方在业务来往的合法权益， 推进甲、乙双方及其工</w:t>
      </w:r>
      <w:r>
        <w:rPr>
          <w:rFonts w:hint="eastAsia" w:ascii="仿宋" w:hAnsi="仿宋" w:eastAsia="仿宋" w:cs="仿宋"/>
          <w:color w:val="auto"/>
          <w:spacing w:val="4"/>
          <w:sz w:val="23"/>
          <w:szCs w:val="23"/>
          <w:highlight w:val="none"/>
        </w:rPr>
        <w:t>作人员的廉洁诚</w:t>
      </w:r>
      <w:r>
        <w:rPr>
          <w:rFonts w:hint="eastAsia" w:ascii="仿宋" w:hAnsi="仿宋" w:eastAsia="仿宋" w:cs="仿宋"/>
          <w:color w:val="auto"/>
          <w:spacing w:val="5"/>
          <w:sz w:val="23"/>
          <w:szCs w:val="23"/>
          <w:highlight w:val="none"/>
        </w:rPr>
        <w:t>信建设， 使甲乙双方的业务往来充分体现廉洁、诚信的原则，预防商业贿赂和不正当竞</w:t>
      </w:r>
      <w:r>
        <w:rPr>
          <w:rFonts w:hint="eastAsia" w:ascii="仿宋" w:hAnsi="仿宋" w:eastAsia="仿宋" w:cs="仿宋"/>
          <w:color w:val="auto"/>
          <w:spacing w:val="1"/>
          <w:sz w:val="23"/>
          <w:szCs w:val="23"/>
          <w:highlight w:val="none"/>
        </w:rPr>
        <w:t>争，甲乙双方在自愿的基础上签署本协议。</w:t>
      </w:r>
    </w:p>
    <w:p w14:paraId="1B509A12">
      <w:pPr>
        <w:spacing w:before="154" w:line="226" w:lineRule="auto"/>
        <w:ind w:left="28"/>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第一条</w:t>
      </w:r>
      <w:r>
        <w:rPr>
          <w:rFonts w:hint="eastAsia" w:ascii="仿宋" w:hAnsi="仿宋" w:eastAsia="仿宋" w:cs="仿宋"/>
          <w:color w:val="auto"/>
          <w:spacing w:val="58"/>
          <w:sz w:val="23"/>
          <w:szCs w:val="23"/>
          <w:highlight w:val="none"/>
        </w:rPr>
        <w:t xml:space="preserve"> </w:t>
      </w:r>
      <w:r>
        <w:rPr>
          <w:rFonts w:hint="eastAsia" w:ascii="仿宋" w:hAnsi="仿宋" w:eastAsia="仿宋" w:cs="仿宋"/>
          <w:color w:val="auto"/>
          <w:spacing w:val="9"/>
          <w:sz w:val="23"/>
          <w:szCs w:val="23"/>
          <w:highlight w:val="none"/>
        </w:rPr>
        <w:t>本协议作为框架协议的附件，经甲、乙双方签署后生效 。</w:t>
      </w:r>
    </w:p>
    <w:p w14:paraId="3BA45954">
      <w:pPr>
        <w:spacing w:before="109" w:line="484"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8"/>
          <w:position w:val="19"/>
          <w:sz w:val="23"/>
          <w:szCs w:val="23"/>
          <w:highlight w:val="none"/>
        </w:rPr>
        <w:t>本协议所指利害关系人是指审核项目有关工作人员、有关工</w:t>
      </w:r>
      <w:r>
        <w:rPr>
          <w:rFonts w:hint="eastAsia" w:ascii="仿宋" w:hAnsi="仿宋" w:eastAsia="仿宋" w:cs="仿宋"/>
          <w:color w:val="auto"/>
          <w:spacing w:val="7"/>
          <w:position w:val="19"/>
          <w:sz w:val="23"/>
          <w:szCs w:val="23"/>
          <w:highlight w:val="none"/>
        </w:rPr>
        <w:t>作人员亲属及其他共同</w:t>
      </w:r>
    </w:p>
    <w:p w14:paraId="6F4A4F9C">
      <w:pPr>
        <w:spacing w:line="228" w:lineRule="auto"/>
        <w:ind w:left="40"/>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利益关系人。</w:t>
      </w:r>
    </w:p>
    <w:p w14:paraId="2556D6B9">
      <w:pPr>
        <w:spacing w:before="154" w:line="226" w:lineRule="auto"/>
        <w:ind w:left="28"/>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第二条</w:t>
      </w:r>
      <w:r>
        <w:rPr>
          <w:rFonts w:hint="eastAsia" w:ascii="仿宋" w:hAnsi="仿宋" w:eastAsia="仿宋" w:cs="仿宋"/>
          <w:color w:val="auto"/>
          <w:spacing w:val="31"/>
          <w:sz w:val="23"/>
          <w:szCs w:val="23"/>
          <w:highlight w:val="none"/>
        </w:rPr>
        <w:t xml:space="preserve">  </w:t>
      </w:r>
      <w:r>
        <w:rPr>
          <w:rFonts w:hint="eastAsia" w:ascii="仿宋" w:hAnsi="仿宋" w:eastAsia="仿宋" w:cs="仿宋"/>
          <w:color w:val="auto"/>
          <w:spacing w:val="5"/>
          <w:sz w:val="23"/>
          <w:szCs w:val="23"/>
          <w:highlight w:val="none"/>
        </w:rPr>
        <w:t>甲、乙双方应共同遵守下列条款：</w:t>
      </w:r>
    </w:p>
    <w:p w14:paraId="0691A576">
      <w:pPr>
        <w:spacing w:before="103" w:line="485" w:lineRule="exact"/>
        <w:ind w:right="7"/>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8"/>
          <w:sz w:val="23"/>
          <w:szCs w:val="23"/>
          <w:highlight w:val="none"/>
        </w:rPr>
        <w:t>（一）严格遵守国家法律法规，坚持廉洁、诚信的原则，恪守公认的商业道德和职</w:t>
      </w:r>
    </w:p>
    <w:p w14:paraId="066ADD7C">
      <w:pPr>
        <w:spacing w:line="227" w:lineRule="auto"/>
        <w:ind w:left="35"/>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业道德规范， 不从事并抵制不廉洁、不诚信</w:t>
      </w:r>
      <w:r>
        <w:rPr>
          <w:rFonts w:hint="eastAsia" w:ascii="仿宋" w:hAnsi="仿宋" w:eastAsia="仿宋" w:cs="仿宋"/>
          <w:color w:val="auto"/>
          <w:spacing w:val="2"/>
          <w:sz w:val="23"/>
          <w:szCs w:val="23"/>
          <w:highlight w:val="none"/>
        </w:rPr>
        <w:t>行为；</w:t>
      </w:r>
    </w:p>
    <w:p w14:paraId="27151FE2">
      <w:pPr>
        <w:spacing w:before="168" w:line="470" w:lineRule="exact"/>
        <w:ind w:left="540"/>
        <w:rPr>
          <w:rFonts w:hint="eastAsia" w:ascii="仿宋" w:hAnsi="仿宋" w:eastAsia="仿宋" w:cs="仿宋"/>
          <w:color w:val="auto"/>
          <w:sz w:val="23"/>
          <w:szCs w:val="23"/>
          <w:highlight w:val="none"/>
        </w:rPr>
      </w:pPr>
      <w:r>
        <w:rPr>
          <w:rFonts w:hint="eastAsia" w:ascii="仿宋" w:hAnsi="仿宋" w:eastAsia="仿宋" w:cs="仿宋"/>
          <w:color w:val="auto"/>
          <w:spacing w:val="8"/>
          <w:position w:val="17"/>
          <w:sz w:val="23"/>
          <w:szCs w:val="23"/>
          <w:highlight w:val="none"/>
        </w:rPr>
        <w:t>（二）对各自工作人员开展廉政教育，增强相关人员廉洁自律的意识。</w:t>
      </w:r>
    </w:p>
    <w:p w14:paraId="1B8C1530">
      <w:pPr>
        <w:spacing w:before="2" w:line="216"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第三条    甲方应遵守下列条款：</w:t>
      </w:r>
    </w:p>
    <w:p w14:paraId="3FA44805">
      <w:pPr>
        <w:spacing w:before="120" w:line="227" w:lineRule="auto"/>
        <w:ind w:left="540"/>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（一）利害关系人不得接受或以借用等名义占用乙方或乙方工作人员的财物 ；</w:t>
      </w:r>
    </w:p>
    <w:p w14:paraId="6499E0A7">
      <w:pPr>
        <w:spacing w:before="169" w:line="485" w:lineRule="exact"/>
        <w:ind w:right="7"/>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（二）利害关系人不得接受乙方提供的礼品、宴请以及旅游、健身、娱乐等活动安</w:t>
      </w:r>
    </w:p>
    <w:p w14:paraId="25E3F443">
      <w:pPr>
        <w:spacing w:before="1" w:line="229" w:lineRule="auto"/>
        <w:ind w:left="36"/>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排；</w:t>
      </w:r>
    </w:p>
    <w:p w14:paraId="20C00E5F">
      <w:pPr>
        <w:spacing w:before="162" w:line="483" w:lineRule="exact"/>
        <w:ind w:left="540"/>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（三）利害关系人不得接受乙方提供的礼金和各种有价证券、支付凭证 ；</w:t>
      </w:r>
    </w:p>
    <w:p w14:paraId="39E92821">
      <w:pPr>
        <w:spacing w:before="1" w:line="226" w:lineRule="auto"/>
        <w:ind w:left="540"/>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（四）利害关系人不得要求乙方支付应由本人负担的费用或报销票据；</w:t>
      </w:r>
    </w:p>
    <w:p w14:paraId="47CB6CE2">
      <w:pPr>
        <w:spacing w:before="166" w:line="482" w:lineRule="exact"/>
        <w:ind w:left="540"/>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（五） 利害关系人不得接受由乙方提供的其他任何可能影响本人公正执行公务的</w:t>
      </w:r>
    </w:p>
    <w:p w14:paraId="5BF83F59">
      <w:pPr>
        <w:spacing w:before="1" w:line="227" w:lineRule="auto"/>
        <w:ind w:left="40"/>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财物或服务；</w:t>
      </w:r>
    </w:p>
    <w:p w14:paraId="3ADAA719">
      <w:pPr>
        <w:spacing w:before="206" w:line="365" w:lineRule="auto"/>
        <w:ind w:left="36" w:right="2" w:firstLine="503"/>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（六）当乙方提供本条第（一）至（五）款所指的内容，或实施其他不廉洁、不诚</w:t>
      </w:r>
      <w:r>
        <w:rPr>
          <w:rFonts w:hint="eastAsia" w:ascii="仿宋" w:hAnsi="仿宋" w:eastAsia="仿宋" w:cs="仿宋"/>
          <w:color w:val="auto"/>
          <w:spacing w:val="5"/>
          <w:sz w:val="23"/>
          <w:szCs w:val="23"/>
          <w:highlight w:val="none"/>
        </w:rPr>
        <w:t>信行为时，利害关系人应予以拒绝； 对于无法拒绝的，应及时向甲方或监督检查部门举</w:t>
      </w:r>
    </w:p>
    <w:p w14:paraId="70BFFF28">
      <w:pPr>
        <w:spacing w:before="1" w:line="227" w:lineRule="auto"/>
        <w:ind w:left="35"/>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报并上缴相关财物。</w:t>
      </w:r>
    </w:p>
    <w:p w14:paraId="09E60A28">
      <w:pPr>
        <w:spacing w:before="155" w:line="226" w:lineRule="auto"/>
        <w:ind w:left="28"/>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第四条    乙方应遵守下列条款：</w:t>
      </w:r>
    </w:p>
    <w:p w14:paraId="7DE9ACB2">
      <w:pPr>
        <w:spacing w:before="121" w:line="227" w:lineRule="auto"/>
        <w:ind w:left="540"/>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（一） 不得给予或以借用等名义向利害关系人提供财物；</w:t>
      </w:r>
    </w:p>
    <w:p w14:paraId="6BD78C4C">
      <w:pPr>
        <w:spacing w:before="185" w:line="227" w:lineRule="auto"/>
        <w:ind w:left="540"/>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（二）</w:t>
      </w:r>
      <w:r>
        <w:rPr>
          <w:rFonts w:hint="eastAsia" w:ascii="仿宋" w:hAnsi="仿宋" w:eastAsia="仿宋" w:cs="仿宋"/>
          <w:color w:val="auto"/>
          <w:spacing w:val="41"/>
          <w:sz w:val="23"/>
          <w:szCs w:val="23"/>
          <w:highlight w:val="none"/>
        </w:rPr>
        <w:t xml:space="preserve"> </w:t>
      </w:r>
      <w:r>
        <w:rPr>
          <w:rFonts w:hint="eastAsia" w:ascii="仿宋" w:hAnsi="仿宋" w:eastAsia="仿宋" w:cs="仿宋"/>
          <w:color w:val="auto"/>
          <w:spacing w:val="7"/>
          <w:sz w:val="23"/>
          <w:szCs w:val="23"/>
          <w:highlight w:val="none"/>
        </w:rPr>
        <w:t>不得向利害关系人提供礼品、宴请以及旅游、健身、娱乐等活动安排；</w:t>
      </w:r>
    </w:p>
    <w:p w14:paraId="2B400168">
      <w:pPr>
        <w:spacing w:before="181" w:line="226" w:lineRule="auto"/>
        <w:ind w:left="540"/>
        <w:rPr>
          <w:rFonts w:hint="eastAsia" w:ascii="仿宋" w:hAnsi="仿宋" w:eastAsia="仿宋" w:cs="仿宋"/>
          <w:color w:val="auto"/>
          <w:sz w:val="23"/>
          <w:szCs w:val="23"/>
          <w:highlight w:val="none"/>
        </w:rPr>
        <w:sectPr>
          <w:footerReference r:id="rId15"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7"/>
          <w:sz w:val="23"/>
          <w:szCs w:val="23"/>
          <w:highlight w:val="none"/>
        </w:rPr>
        <w:t>（三） 不得向利害关系人提供礼金和各种有</w:t>
      </w:r>
      <w:r>
        <w:rPr>
          <w:rFonts w:hint="eastAsia" w:ascii="仿宋" w:hAnsi="仿宋" w:eastAsia="仿宋" w:cs="仿宋"/>
          <w:color w:val="auto"/>
          <w:spacing w:val="6"/>
          <w:sz w:val="23"/>
          <w:szCs w:val="23"/>
          <w:highlight w:val="none"/>
        </w:rPr>
        <w:t>价证券、支付凭证；</w:t>
      </w:r>
    </w:p>
    <w:p w14:paraId="10223315">
      <w:pPr>
        <w:pStyle w:val="4"/>
        <w:spacing w:line="247" w:lineRule="auto"/>
        <w:rPr>
          <w:rFonts w:hint="eastAsia" w:ascii="仿宋" w:hAnsi="仿宋" w:eastAsia="仿宋" w:cs="仿宋"/>
          <w:color w:val="auto"/>
          <w:highlight w:val="none"/>
        </w:rPr>
      </w:pPr>
    </w:p>
    <w:p w14:paraId="4BBECD15">
      <w:pPr>
        <w:spacing w:before="75" w:line="227" w:lineRule="auto"/>
        <w:ind w:left="540"/>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（四〉</w:t>
      </w:r>
      <w:r>
        <w:rPr>
          <w:rFonts w:hint="eastAsia" w:ascii="仿宋" w:hAnsi="仿宋" w:eastAsia="仿宋" w:cs="仿宋"/>
          <w:color w:val="auto"/>
          <w:spacing w:val="49"/>
          <w:sz w:val="23"/>
          <w:szCs w:val="23"/>
          <w:highlight w:val="none"/>
        </w:rPr>
        <w:t xml:space="preserve"> </w:t>
      </w:r>
      <w:r>
        <w:rPr>
          <w:rFonts w:hint="eastAsia" w:ascii="仿宋" w:hAnsi="仿宋" w:eastAsia="仿宋" w:cs="仿宋"/>
          <w:color w:val="auto"/>
          <w:spacing w:val="5"/>
          <w:sz w:val="23"/>
          <w:szCs w:val="23"/>
          <w:highlight w:val="none"/>
        </w:rPr>
        <w:t>不得为利害关系人支付应由其本人承担的费用或报销票据；</w:t>
      </w:r>
    </w:p>
    <w:p w14:paraId="367879BF">
      <w:pPr>
        <w:spacing w:before="180" w:line="227" w:lineRule="auto"/>
        <w:jc w:val="center"/>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（五） 不得向和利害关系人提供其他任何可能影响其公正执行公务的财物或服务；</w:t>
      </w:r>
    </w:p>
    <w:p w14:paraId="4596F569">
      <w:pPr>
        <w:spacing w:before="207" w:line="364" w:lineRule="auto"/>
        <w:ind w:left="36" w:right="82" w:firstLine="503"/>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（六）</w:t>
      </w:r>
      <w:r>
        <w:rPr>
          <w:rFonts w:hint="eastAsia" w:ascii="仿宋" w:hAnsi="仿宋" w:eastAsia="仿宋" w:cs="仿宋"/>
          <w:color w:val="auto"/>
          <w:spacing w:val="30"/>
          <w:sz w:val="23"/>
          <w:szCs w:val="23"/>
          <w:highlight w:val="none"/>
        </w:rPr>
        <w:t xml:space="preserve"> </w:t>
      </w:r>
      <w:r>
        <w:rPr>
          <w:rFonts w:hint="eastAsia" w:ascii="仿宋" w:hAnsi="仿宋" w:eastAsia="仿宋" w:cs="仿宋"/>
          <w:color w:val="auto"/>
          <w:spacing w:val="1"/>
          <w:sz w:val="23"/>
          <w:szCs w:val="23"/>
          <w:highlight w:val="none"/>
        </w:rPr>
        <w:t>利害关系人主动索取和要求本条（一）至（五） 款所指的内容， 或实施其</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6"/>
          <w:sz w:val="23"/>
          <w:szCs w:val="23"/>
          <w:highlight w:val="none"/>
        </w:rPr>
        <w:t>他不廉洁、不诚信行为时，乙方应拒绝，并有义务向甲方或监督检查部门举报或投诉，</w:t>
      </w:r>
    </w:p>
    <w:p w14:paraId="5B4B636D">
      <w:pPr>
        <w:spacing w:line="226" w:lineRule="auto"/>
        <w:ind w:left="46"/>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也可向有关部门举报。甲方应保护乙方当事人的合法权益。</w:t>
      </w:r>
    </w:p>
    <w:p w14:paraId="2436AD1E">
      <w:pPr>
        <w:spacing w:before="156" w:line="226" w:lineRule="auto"/>
        <w:ind w:left="28"/>
        <w:rPr>
          <w:rFonts w:hint="eastAsia" w:ascii="仿宋" w:hAnsi="仿宋" w:eastAsia="仿宋" w:cs="仿宋"/>
          <w:color w:val="auto"/>
          <w:sz w:val="23"/>
          <w:szCs w:val="23"/>
          <w:highlight w:val="none"/>
        </w:rPr>
      </w:pPr>
      <w:r>
        <w:rPr>
          <w:rFonts w:hint="eastAsia" w:ascii="仿宋" w:hAnsi="仿宋" w:eastAsia="仿宋" w:cs="仿宋"/>
          <w:color w:val="auto"/>
          <w:spacing w:val="10"/>
          <w:sz w:val="23"/>
          <w:szCs w:val="23"/>
          <w:highlight w:val="none"/>
        </w:rPr>
        <w:t>第五条</w:t>
      </w:r>
      <w:r>
        <w:rPr>
          <w:rFonts w:hint="eastAsia" w:ascii="仿宋" w:hAnsi="仿宋" w:eastAsia="仿宋" w:cs="仿宋"/>
          <w:color w:val="auto"/>
          <w:spacing w:val="43"/>
          <w:sz w:val="23"/>
          <w:szCs w:val="23"/>
          <w:highlight w:val="none"/>
        </w:rPr>
        <w:t xml:space="preserve"> </w:t>
      </w:r>
      <w:r>
        <w:rPr>
          <w:rFonts w:hint="eastAsia" w:ascii="仿宋" w:hAnsi="仿宋" w:eastAsia="仿宋" w:cs="仿宋"/>
          <w:color w:val="auto"/>
          <w:spacing w:val="10"/>
          <w:sz w:val="23"/>
          <w:szCs w:val="23"/>
          <w:highlight w:val="none"/>
        </w:rPr>
        <w:t>违约责任</w:t>
      </w:r>
    </w:p>
    <w:p w14:paraId="4A042DA7">
      <w:pPr>
        <w:spacing w:before="106" w:line="483" w:lineRule="exact"/>
        <w:ind w:right="3"/>
        <w:jc w:val="center"/>
        <w:rPr>
          <w:rFonts w:hint="eastAsia" w:ascii="仿宋" w:hAnsi="仿宋" w:eastAsia="仿宋" w:cs="仿宋"/>
          <w:color w:val="auto"/>
          <w:sz w:val="23"/>
          <w:szCs w:val="23"/>
          <w:highlight w:val="none"/>
        </w:rPr>
      </w:pPr>
      <w:r>
        <w:rPr>
          <w:rFonts w:hint="eastAsia" w:ascii="仿宋" w:hAnsi="仿宋" w:eastAsia="仿宋" w:cs="仿宋"/>
          <w:color w:val="auto"/>
          <w:spacing w:val="6"/>
          <w:position w:val="18"/>
          <w:sz w:val="23"/>
          <w:szCs w:val="23"/>
          <w:highlight w:val="none"/>
        </w:rPr>
        <w:t>甲、乙双方工作人员如违反本协议规定，由甲、乙双方依据有关规定严肃处理。如</w:t>
      </w:r>
    </w:p>
    <w:p w14:paraId="7FECC9B0">
      <w:pPr>
        <w:spacing w:before="1" w:line="226" w:lineRule="auto"/>
        <w:ind w:left="84"/>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乙方违反本协议规定，甲方有权依据征集文</w:t>
      </w:r>
      <w:r>
        <w:rPr>
          <w:rFonts w:hint="eastAsia" w:ascii="仿宋" w:hAnsi="仿宋" w:eastAsia="仿宋" w:cs="仿宋"/>
          <w:color w:val="auto"/>
          <w:spacing w:val="4"/>
          <w:sz w:val="23"/>
          <w:szCs w:val="23"/>
          <w:highlight w:val="none"/>
        </w:rPr>
        <w:t>件及相关规定， 对乙方进行严肃处理。</w:t>
      </w:r>
    </w:p>
    <w:p w14:paraId="2F6C9FA1">
      <w:pPr>
        <w:spacing w:before="168" w:line="227" w:lineRule="auto"/>
        <w:jc w:val="center"/>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乙方不廉洁、不诚信行为造成甲方经济损失或有损甲方形象和声誉的</w:t>
      </w:r>
      <w:r>
        <w:rPr>
          <w:rFonts w:hint="eastAsia" w:ascii="仿宋" w:hAnsi="仿宋" w:eastAsia="仿宋" w:cs="仿宋"/>
          <w:color w:val="auto"/>
          <w:spacing w:val="6"/>
          <w:sz w:val="23"/>
          <w:szCs w:val="23"/>
          <w:highlight w:val="none"/>
        </w:rPr>
        <w:t>，由乙方予以</w:t>
      </w:r>
    </w:p>
    <w:p w14:paraId="3E9E6F24">
      <w:pPr>
        <w:spacing w:before="203" w:line="227" w:lineRule="auto"/>
        <w:ind w:left="36"/>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赔偿。</w:t>
      </w:r>
    </w:p>
    <w:p w14:paraId="410D742D">
      <w:pPr>
        <w:spacing w:before="134" w:line="514" w:lineRule="exact"/>
        <w:ind w:left="28"/>
        <w:rPr>
          <w:rFonts w:hint="eastAsia" w:ascii="仿宋" w:hAnsi="仿宋" w:eastAsia="仿宋" w:cs="仿宋"/>
          <w:color w:val="auto"/>
          <w:sz w:val="23"/>
          <w:szCs w:val="23"/>
          <w:highlight w:val="none"/>
        </w:rPr>
      </w:pPr>
      <w:r>
        <w:rPr>
          <w:rFonts w:hint="eastAsia" w:ascii="仿宋" w:hAnsi="仿宋" w:eastAsia="仿宋" w:cs="仿宋"/>
          <w:color w:val="auto"/>
          <w:spacing w:val="8"/>
          <w:position w:val="18"/>
          <w:sz w:val="23"/>
          <w:szCs w:val="23"/>
          <w:highlight w:val="none"/>
        </w:rPr>
        <w:t>第六条</w:t>
      </w:r>
      <w:r>
        <w:rPr>
          <w:rFonts w:hint="eastAsia" w:ascii="仿宋" w:hAnsi="仿宋" w:eastAsia="仿宋" w:cs="仿宋"/>
          <w:color w:val="auto"/>
          <w:spacing w:val="25"/>
          <w:w w:val="101"/>
          <w:position w:val="18"/>
          <w:sz w:val="23"/>
          <w:szCs w:val="23"/>
          <w:highlight w:val="none"/>
        </w:rPr>
        <w:t xml:space="preserve">  </w:t>
      </w:r>
      <w:r>
        <w:rPr>
          <w:rFonts w:hint="eastAsia" w:ascii="仿宋" w:hAnsi="仿宋" w:eastAsia="仿宋" w:cs="仿宋"/>
          <w:color w:val="auto"/>
          <w:spacing w:val="8"/>
          <w:position w:val="18"/>
          <w:sz w:val="23"/>
          <w:szCs w:val="23"/>
          <w:highlight w:val="none"/>
        </w:rPr>
        <w:t>甲、乙双方的监督检查部门对本廉洁诚信协议的执行情况进行监督检查，接受</w:t>
      </w:r>
    </w:p>
    <w:p w14:paraId="13C602DF">
      <w:pPr>
        <w:spacing w:line="226" w:lineRule="auto"/>
        <w:ind w:left="40"/>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有关投诉和举报。</w:t>
      </w:r>
    </w:p>
    <w:p w14:paraId="33D5B9B3">
      <w:pPr>
        <w:spacing w:before="205" w:line="366" w:lineRule="auto"/>
        <w:ind w:left="45" w:firstLine="533"/>
        <w:jc w:val="both"/>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甲、乙双方监督检查部门应当认真履行职责，</w:t>
      </w:r>
      <w:r>
        <w:rPr>
          <w:rFonts w:hint="eastAsia" w:ascii="仿宋" w:hAnsi="仿宋" w:eastAsia="仿宋" w:cs="仿宋"/>
          <w:color w:val="auto"/>
          <w:spacing w:val="6"/>
          <w:sz w:val="23"/>
          <w:szCs w:val="23"/>
          <w:highlight w:val="none"/>
        </w:rPr>
        <w:t>在监督检查、处理投诉和举报过程中</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8"/>
          <w:sz w:val="23"/>
          <w:szCs w:val="23"/>
          <w:highlight w:val="none"/>
        </w:rPr>
        <w:t>发现存在本协议所禁止的行为时，可以向对方单位相关人</w:t>
      </w:r>
      <w:r>
        <w:rPr>
          <w:rFonts w:hint="eastAsia" w:ascii="仿宋" w:hAnsi="仿宋" w:eastAsia="仿宋" w:cs="仿宋"/>
          <w:color w:val="auto"/>
          <w:spacing w:val="7"/>
          <w:sz w:val="23"/>
          <w:szCs w:val="23"/>
          <w:highlight w:val="none"/>
        </w:rPr>
        <w:t>员询问情况，必要时可以请求</w:t>
      </w:r>
    </w:p>
    <w:p w14:paraId="38F0ABC9">
      <w:pPr>
        <w:spacing w:before="1" w:line="227" w:lineRule="auto"/>
        <w:ind w:left="35"/>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对方监督检查部门予以协助，对方应予积极配合。</w:t>
      </w:r>
    </w:p>
    <w:p w14:paraId="21C3338F">
      <w:pPr>
        <w:spacing w:before="137" w:line="499" w:lineRule="exact"/>
        <w:ind w:left="28"/>
        <w:rPr>
          <w:rFonts w:hint="eastAsia" w:ascii="仿宋" w:hAnsi="仿宋" w:eastAsia="仿宋" w:cs="仿宋"/>
          <w:color w:val="auto"/>
          <w:sz w:val="23"/>
          <w:szCs w:val="23"/>
          <w:highlight w:val="none"/>
        </w:rPr>
      </w:pPr>
      <w:r>
        <w:rPr>
          <w:rFonts w:hint="eastAsia" w:ascii="仿宋" w:hAnsi="仿宋" w:eastAsia="仿宋" w:cs="仿宋"/>
          <w:color w:val="auto"/>
          <w:spacing w:val="3"/>
          <w:position w:val="17"/>
          <w:sz w:val="23"/>
          <w:szCs w:val="23"/>
          <w:highlight w:val="none"/>
        </w:rPr>
        <w:t>第七条</w:t>
      </w:r>
      <w:r>
        <w:rPr>
          <w:rFonts w:hint="eastAsia" w:ascii="仿宋" w:hAnsi="仿宋" w:eastAsia="仿宋" w:cs="仿宋"/>
          <w:color w:val="auto"/>
          <w:spacing w:val="40"/>
          <w:position w:val="17"/>
          <w:sz w:val="23"/>
          <w:szCs w:val="23"/>
          <w:highlight w:val="none"/>
        </w:rPr>
        <w:t xml:space="preserve"> </w:t>
      </w:r>
      <w:r>
        <w:rPr>
          <w:rFonts w:hint="eastAsia" w:ascii="仿宋" w:hAnsi="仿宋" w:eastAsia="仿宋" w:cs="仿宋"/>
          <w:color w:val="auto"/>
          <w:spacing w:val="3"/>
          <w:position w:val="17"/>
          <w:sz w:val="23"/>
          <w:szCs w:val="23"/>
          <w:highlight w:val="none"/>
        </w:rPr>
        <w:t>本协议为采购合同附件， 与采购合同一并签署。</w:t>
      </w:r>
    </w:p>
    <w:p w14:paraId="4352406E">
      <w:pPr>
        <w:spacing w:before="1" w:line="202"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5"/>
          <w:szCs w:val="25"/>
          <w:highlight w:val="none"/>
        </w:rPr>
        <w:t>第八条</w:t>
      </w:r>
      <w:r>
        <w:rPr>
          <w:rFonts w:hint="eastAsia" w:ascii="仿宋" w:hAnsi="仿宋" w:eastAsia="仿宋" w:cs="仿宋"/>
          <w:color w:val="auto"/>
          <w:spacing w:val="25"/>
          <w:sz w:val="25"/>
          <w:szCs w:val="25"/>
          <w:highlight w:val="none"/>
        </w:rPr>
        <w:t xml:space="preserve"> </w:t>
      </w:r>
      <w:r>
        <w:rPr>
          <w:rFonts w:hint="eastAsia" w:ascii="仿宋" w:hAnsi="仿宋" w:eastAsia="仿宋" w:cs="仿宋"/>
          <w:color w:val="auto"/>
          <w:spacing w:val="6"/>
          <w:sz w:val="23"/>
          <w:szCs w:val="23"/>
          <w:highlight w:val="none"/>
        </w:rPr>
        <w:t>本协议由甲方负责解释。</w:t>
      </w:r>
    </w:p>
    <w:p w14:paraId="1329BB44">
      <w:pPr>
        <w:spacing w:before="69" w:line="522" w:lineRule="exact"/>
        <w:ind w:left="28"/>
        <w:rPr>
          <w:rFonts w:hint="eastAsia" w:ascii="仿宋" w:hAnsi="仿宋" w:eastAsia="仿宋" w:cs="仿宋"/>
          <w:color w:val="auto"/>
          <w:sz w:val="23"/>
          <w:szCs w:val="23"/>
          <w:highlight w:val="none"/>
        </w:rPr>
      </w:pPr>
      <w:r>
        <w:rPr>
          <w:rFonts w:hint="eastAsia" w:ascii="仿宋" w:hAnsi="仿宋" w:eastAsia="仿宋" w:cs="仿宋"/>
          <w:color w:val="auto"/>
          <w:spacing w:val="7"/>
          <w:position w:val="19"/>
          <w:sz w:val="23"/>
          <w:szCs w:val="23"/>
          <w:highlight w:val="none"/>
        </w:rPr>
        <w:t>第九条</w:t>
      </w:r>
      <w:r>
        <w:rPr>
          <w:rFonts w:hint="eastAsia" w:ascii="仿宋" w:hAnsi="仿宋" w:eastAsia="仿宋" w:cs="仿宋"/>
          <w:color w:val="auto"/>
          <w:spacing w:val="49"/>
          <w:position w:val="19"/>
          <w:sz w:val="23"/>
          <w:szCs w:val="23"/>
          <w:highlight w:val="none"/>
        </w:rPr>
        <w:t xml:space="preserve"> </w:t>
      </w:r>
      <w:r>
        <w:rPr>
          <w:rFonts w:hint="eastAsia" w:ascii="仿宋" w:hAnsi="仿宋" w:eastAsia="仿宋" w:cs="仿宋"/>
          <w:color w:val="auto"/>
          <w:spacing w:val="7"/>
          <w:position w:val="19"/>
          <w:sz w:val="23"/>
          <w:szCs w:val="23"/>
          <w:highlight w:val="none"/>
        </w:rPr>
        <w:t>监督检查部门举报及投诉渠道名称：</w:t>
      </w:r>
    </w:p>
    <w:p w14:paraId="21A1040B">
      <w:pPr>
        <w:spacing w:line="236" w:lineRule="auto"/>
        <w:ind w:left="36"/>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地址：</w:t>
      </w:r>
    </w:p>
    <w:p w14:paraId="2F41B4D7">
      <w:pPr>
        <w:spacing w:before="147" w:line="485" w:lineRule="exact"/>
        <w:ind w:left="93"/>
        <w:rPr>
          <w:rFonts w:hint="eastAsia" w:ascii="仿宋" w:hAnsi="仿宋" w:eastAsia="仿宋" w:cs="仿宋"/>
          <w:color w:val="auto"/>
          <w:sz w:val="23"/>
          <w:szCs w:val="23"/>
          <w:highlight w:val="none"/>
        </w:rPr>
      </w:pPr>
      <w:r>
        <w:rPr>
          <w:rFonts w:hint="eastAsia" w:ascii="仿宋" w:hAnsi="仿宋" w:eastAsia="仿宋" w:cs="仿宋"/>
          <w:color w:val="auto"/>
          <w:spacing w:val="-10"/>
          <w:position w:val="18"/>
          <w:sz w:val="23"/>
          <w:szCs w:val="23"/>
          <w:highlight w:val="none"/>
        </w:rPr>
        <w:t>电话：</w:t>
      </w:r>
    </w:p>
    <w:p w14:paraId="2D0A74C5">
      <w:pPr>
        <w:spacing w:line="228" w:lineRule="auto"/>
        <w:ind w:left="73"/>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邮箱：</w:t>
      </w:r>
    </w:p>
    <w:p w14:paraId="4FED719D">
      <w:pPr>
        <w:pStyle w:val="4"/>
        <w:spacing w:line="285" w:lineRule="auto"/>
        <w:rPr>
          <w:rFonts w:hint="eastAsia" w:ascii="仿宋" w:hAnsi="仿宋" w:eastAsia="仿宋" w:cs="仿宋"/>
          <w:color w:val="auto"/>
          <w:highlight w:val="none"/>
        </w:rPr>
      </w:pPr>
    </w:p>
    <w:p w14:paraId="3DD1CEC7">
      <w:pPr>
        <w:pStyle w:val="4"/>
        <w:spacing w:line="285" w:lineRule="auto"/>
        <w:rPr>
          <w:rFonts w:hint="eastAsia" w:ascii="仿宋" w:hAnsi="仿宋" w:eastAsia="仿宋" w:cs="仿宋"/>
          <w:color w:val="auto"/>
          <w:highlight w:val="none"/>
        </w:rPr>
      </w:pPr>
    </w:p>
    <w:p w14:paraId="3FDD6624">
      <w:pPr>
        <w:spacing w:before="75" w:line="227" w:lineRule="auto"/>
        <w:ind w:left="99"/>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甲   方 （盖章</w:t>
      </w:r>
      <w:r>
        <w:rPr>
          <w:rFonts w:hint="eastAsia" w:ascii="仿宋" w:hAnsi="仿宋" w:eastAsia="仿宋" w:cs="仿宋"/>
          <w:color w:val="auto"/>
          <w:spacing w:val="-26"/>
          <w:sz w:val="23"/>
          <w:szCs w:val="23"/>
          <w:highlight w:val="none"/>
        </w:rPr>
        <w:t>）：</w:t>
      </w:r>
      <w:r>
        <w:rPr>
          <w:rFonts w:hint="eastAsia" w:ascii="仿宋" w:hAnsi="仿宋" w:eastAsia="仿宋" w:cs="仿宋"/>
          <w:color w:val="auto"/>
          <w:spacing w:val="2"/>
          <w:sz w:val="23"/>
          <w:szCs w:val="23"/>
          <w:highlight w:val="none"/>
        </w:rPr>
        <w:t xml:space="preserve">                             </w:t>
      </w:r>
      <w:r>
        <w:rPr>
          <w:rFonts w:hint="eastAsia" w:ascii="仿宋" w:hAnsi="仿宋" w:eastAsia="仿宋" w:cs="仿宋"/>
          <w:color w:val="auto"/>
          <w:spacing w:val="-2"/>
          <w:sz w:val="23"/>
          <w:szCs w:val="23"/>
          <w:highlight w:val="none"/>
        </w:rPr>
        <w:t>乙</w:t>
      </w:r>
      <w:r>
        <w:rPr>
          <w:rFonts w:hint="eastAsia" w:ascii="仿宋" w:hAnsi="仿宋" w:eastAsia="仿宋" w:cs="仿宋"/>
          <w:color w:val="auto"/>
          <w:spacing w:val="12"/>
          <w:sz w:val="23"/>
          <w:szCs w:val="23"/>
          <w:highlight w:val="none"/>
        </w:rPr>
        <w:t xml:space="preserve">   </w:t>
      </w:r>
      <w:r>
        <w:rPr>
          <w:rFonts w:hint="eastAsia" w:ascii="仿宋" w:hAnsi="仿宋" w:eastAsia="仿宋" w:cs="仿宋"/>
          <w:color w:val="auto"/>
          <w:spacing w:val="-2"/>
          <w:sz w:val="23"/>
          <w:szCs w:val="23"/>
          <w:highlight w:val="none"/>
        </w:rPr>
        <w:t>方 （盖章</w:t>
      </w:r>
      <w:r>
        <w:rPr>
          <w:rFonts w:hint="eastAsia" w:ascii="仿宋" w:hAnsi="仿宋" w:eastAsia="仿宋" w:cs="仿宋"/>
          <w:color w:val="auto"/>
          <w:spacing w:val="-26"/>
          <w:sz w:val="23"/>
          <w:szCs w:val="23"/>
          <w:highlight w:val="none"/>
        </w:rPr>
        <w:t>）：</w:t>
      </w:r>
    </w:p>
    <w:p w14:paraId="18B0E042">
      <w:pPr>
        <w:spacing w:before="38"/>
        <w:rPr>
          <w:rFonts w:hint="eastAsia" w:ascii="仿宋" w:hAnsi="仿宋" w:eastAsia="仿宋" w:cs="仿宋"/>
          <w:color w:val="auto"/>
          <w:highlight w:val="none"/>
        </w:rPr>
      </w:pPr>
    </w:p>
    <w:p w14:paraId="36B7D42F">
      <w:pPr>
        <w:rPr>
          <w:rFonts w:hint="eastAsia" w:ascii="仿宋" w:hAnsi="仿宋" w:eastAsia="仿宋" w:cs="仿宋"/>
          <w:color w:val="auto"/>
          <w:highlight w:val="none"/>
        </w:rPr>
        <w:sectPr>
          <w:footerReference r:id="rId16" w:type="default"/>
          <w:pgSz w:w="11905" w:h="16838"/>
          <w:pgMar w:top="1020" w:right="1134" w:bottom="1020" w:left="1134" w:header="0" w:footer="573" w:gutter="0"/>
          <w:pgNumType w:fmt="decimal"/>
          <w:cols w:space="0" w:num="1"/>
          <w:rtlGutter w:val="0"/>
          <w:docGrid w:linePitch="0" w:charSpace="0"/>
        </w:sectPr>
      </w:pPr>
    </w:p>
    <w:p w14:paraId="1C8D4004">
      <w:pPr>
        <w:spacing w:before="48" w:line="600" w:lineRule="exact"/>
        <w:ind w:left="40"/>
        <w:rPr>
          <w:rFonts w:hint="eastAsia" w:ascii="仿宋" w:hAnsi="仿宋" w:eastAsia="仿宋" w:cs="仿宋"/>
          <w:color w:val="auto"/>
          <w:sz w:val="23"/>
          <w:szCs w:val="23"/>
          <w:highlight w:val="none"/>
        </w:rPr>
      </w:pPr>
      <w:r>
        <w:rPr>
          <w:rFonts w:hint="eastAsia" w:ascii="仿宋" w:hAnsi="仿宋" w:eastAsia="仿宋" w:cs="仿宋"/>
          <w:color w:val="auto"/>
          <w:spacing w:val="6"/>
          <w:position w:val="28"/>
          <w:sz w:val="23"/>
          <w:szCs w:val="23"/>
          <w:highlight w:val="none"/>
        </w:rPr>
        <w:t>法定代表（委托）人：</w:t>
      </w:r>
    </w:p>
    <w:p w14:paraId="064E3293">
      <w:pPr>
        <w:spacing w:before="1" w:line="192" w:lineRule="auto"/>
        <w:ind w:left="121"/>
        <w:rPr>
          <w:rFonts w:hint="eastAsia" w:ascii="仿宋" w:hAnsi="仿宋" w:eastAsia="仿宋" w:cs="仿宋"/>
          <w:color w:val="auto"/>
          <w:spacing w:val="-9"/>
          <w:sz w:val="23"/>
          <w:szCs w:val="23"/>
          <w:highlight w:val="none"/>
        </w:rPr>
      </w:pPr>
      <w:r>
        <w:rPr>
          <w:rFonts w:hint="eastAsia" w:ascii="仿宋" w:hAnsi="仿宋" w:eastAsia="仿宋" w:cs="仿宋"/>
          <w:color w:val="auto"/>
          <w:spacing w:val="-9"/>
          <w:sz w:val="23"/>
          <w:szCs w:val="23"/>
          <w:highlight w:val="none"/>
        </w:rPr>
        <w:t>日期：</w:t>
      </w:r>
      <w:r>
        <w:rPr>
          <w:rFonts w:hint="eastAsia" w:ascii="仿宋" w:hAnsi="仿宋" w:eastAsia="仿宋" w:cs="仿宋"/>
          <w:color w:val="auto"/>
          <w:spacing w:val="14"/>
          <w:sz w:val="23"/>
          <w:szCs w:val="23"/>
          <w:highlight w:val="none"/>
        </w:rPr>
        <w:t xml:space="preserve">  </w:t>
      </w:r>
      <w:r>
        <w:rPr>
          <w:rFonts w:hint="eastAsia" w:ascii="仿宋" w:hAnsi="仿宋" w:eastAsia="仿宋" w:cs="仿宋"/>
          <w:color w:val="auto"/>
          <w:spacing w:val="-9"/>
          <w:sz w:val="23"/>
          <w:szCs w:val="23"/>
          <w:highlight w:val="none"/>
        </w:rPr>
        <w:t>年</w:t>
      </w:r>
      <w:r>
        <w:rPr>
          <w:rFonts w:hint="eastAsia" w:ascii="仿宋" w:hAnsi="仿宋" w:eastAsia="仿宋" w:cs="仿宋"/>
          <w:color w:val="auto"/>
          <w:spacing w:val="11"/>
          <w:sz w:val="23"/>
          <w:szCs w:val="23"/>
          <w:highlight w:val="none"/>
        </w:rPr>
        <w:t xml:space="preserve">   </w:t>
      </w:r>
      <w:r>
        <w:rPr>
          <w:rFonts w:hint="eastAsia" w:ascii="仿宋" w:hAnsi="仿宋" w:eastAsia="仿宋" w:cs="仿宋"/>
          <w:color w:val="auto"/>
          <w:spacing w:val="-9"/>
          <w:sz w:val="23"/>
          <w:szCs w:val="23"/>
          <w:highlight w:val="none"/>
        </w:rPr>
        <w:t>月</w:t>
      </w:r>
      <w:r>
        <w:rPr>
          <w:rFonts w:hint="eastAsia" w:ascii="仿宋" w:hAnsi="仿宋" w:eastAsia="仿宋" w:cs="仿宋"/>
          <w:color w:val="auto"/>
          <w:spacing w:val="9"/>
          <w:sz w:val="23"/>
          <w:szCs w:val="23"/>
          <w:highlight w:val="none"/>
        </w:rPr>
        <w:t xml:space="preserve">   </w:t>
      </w:r>
      <w:r>
        <w:rPr>
          <w:rFonts w:hint="eastAsia" w:ascii="仿宋" w:hAnsi="仿宋" w:eastAsia="仿宋" w:cs="仿宋"/>
          <w:color w:val="auto"/>
          <w:spacing w:val="-9"/>
          <w:sz w:val="23"/>
          <w:szCs w:val="23"/>
          <w:highlight w:val="none"/>
        </w:rPr>
        <w:t>日</w:t>
      </w:r>
    </w:p>
    <w:p w14:paraId="48812E56">
      <w:pPr>
        <w:bidi w:val="0"/>
        <w:jc w:val="left"/>
        <w:rPr>
          <w:rFonts w:hint="eastAsia" w:ascii="仿宋" w:hAnsi="仿宋" w:eastAsia="仿宋" w:cs="仿宋"/>
          <w:color w:val="auto"/>
          <w:highlight w:val="none"/>
        </w:rPr>
      </w:pPr>
    </w:p>
    <w:p w14:paraId="4EBDB7B0">
      <w:pPr>
        <w:spacing w:before="59"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法定代表（委托）人：</w:t>
      </w:r>
    </w:p>
    <w:p w14:paraId="19413749">
      <w:pPr>
        <w:spacing w:before="303" w:line="194" w:lineRule="auto"/>
        <w:ind w:left="81"/>
        <w:rPr>
          <w:rFonts w:hint="eastAsia" w:ascii="仿宋" w:hAnsi="仿宋" w:eastAsia="仿宋" w:cs="仿宋"/>
          <w:color w:val="auto"/>
          <w:sz w:val="23"/>
          <w:szCs w:val="23"/>
          <w:highlight w:val="none"/>
        </w:rPr>
        <w:sectPr>
          <w:type w:val="continuous"/>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8"/>
          <w:sz w:val="23"/>
          <w:szCs w:val="23"/>
          <w:highlight w:val="none"/>
        </w:rPr>
        <w:t>日</w:t>
      </w:r>
      <w:r>
        <w:rPr>
          <w:rFonts w:hint="eastAsia" w:ascii="仿宋" w:hAnsi="仿宋" w:eastAsia="仿宋" w:cs="仿宋"/>
          <w:color w:val="auto"/>
          <w:spacing w:val="15"/>
          <w:sz w:val="23"/>
          <w:szCs w:val="23"/>
          <w:highlight w:val="none"/>
        </w:rPr>
        <w:t xml:space="preserve"> </w:t>
      </w:r>
      <w:r>
        <w:rPr>
          <w:rFonts w:hint="eastAsia" w:ascii="仿宋" w:hAnsi="仿宋" w:eastAsia="仿宋" w:cs="仿宋"/>
          <w:color w:val="auto"/>
          <w:spacing w:val="-8"/>
          <w:sz w:val="23"/>
          <w:szCs w:val="23"/>
          <w:highlight w:val="none"/>
        </w:rPr>
        <w:t>期：</w:t>
      </w:r>
      <w:r>
        <w:rPr>
          <w:rFonts w:hint="eastAsia" w:ascii="仿宋" w:hAnsi="仿宋" w:eastAsia="仿宋" w:cs="仿宋"/>
          <w:color w:val="auto"/>
          <w:spacing w:val="7"/>
          <w:sz w:val="23"/>
          <w:szCs w:val="23"/>
          <w:highlight w:val="none"/>
        </w:rPr>
        <w:t xml:space="preserve">    </w:t>
      </w:r>
      <w:r>
        <w:rPr>
          <w:rFonts w:hint="eastAsia" w:ascii="仿宋" w:hAnsi="仿宋" w:eastAsia="仿宋" w:cs="仿宋"/>
          <w:color w:val="auto"/>
          <w:spacing w:val="-8"/>
          <w:sz w:val="23"/>
          <w:szCs w:val="23"/>
          <w:highlight w:val="none"/>
        </w:rPr>
        <w:t>年</w:t>
      </w:r>
      <w:r>
        <w:rPr>
          <w:rFonts w:hint="eastAsia" w:ascii="仿宋" w:hAnsi="仿宋" w:eastAsia="仿宋" w:cs="仿宋"/>
          <w:color w:val="auto"/>
          <w:spacing w:val="11"/>
          <w:sz w:val="23"/>
          <w:szCs w:val="23"/>
          <w:highlight w:val="none"/>
        </w:rPr>
        <w:t xml:space="preserve">   </w:t>
      </w:r>
      <w:r>
        <w:rPr>
          <w:rFonts w:hint="eastAsia" w:ascii="仿宋" w:hAnsi="仿宋" w:eastAsia="仿宋" w:cs="仿宋"/>
          <w:color w:val="auto"/>
          <w:spacing w:val="-8"/>
          <w:sz w:val="23"/>
          <w:szCs w:val="23"/>
          <w:highlight w:val="none"/>
        </w:rPr>
        <w:t>月    日</w:t>
      </w:r>
    </w:p>
    <w:p w14:paraId="5FC1035D">
      <w:pPr>
        <w:pStyle w:val="4"/>
        <w:spacing w:line="245" w:lineRule="auto"/>
        <w:rPr>
          <w:rFonts w:hint="eastAsia" w:ascii="仿宋" w:hAnsi="仿宋" w:eastAsia="仿宋" w:cs="仿宋"/>
          <w:color w:val="auto"/>
          <w:highlight w:val="none"/>
        </w:rPr>
      </w:pPr>
    </w:p>
    <w:p w14:paraId="73FDCFE8">
      <w:pPr>
        <w:pStyle w:val="4"/>
        <w:spacing w:line="246" w:lineRule="auto"/>
        <w:rPr>
          <w:rFonts w:hint="eastAsia" w:ascii="仿宋" w:hAnsi="仿宋" w:eastAsia="仿宋" w:cs="仿宋"/>
          <w:color w:val="auto"/>
          <w:highlight w:val="none"/>
        </w:rPr>
      </w:pPr>
    </w:p>
    <w:p w14:paraId="4DA036ED">
      <w:pPr>
        <w:spacing w:before="163" w:line="389" w:lineRule="exact"/>
        <w:ind w:left="1959"/>
        <w:outlineLvl w:val="1"/>
        <w:rPr>
          <w:rFonts w:hint="eastAsia" w:ascii="仿宋" w:hAnsi="仿宋" w:eastAsia="仿宋" w:cs="仿宋"/>
          <w:color w:val="auto"/>
          <w:sz w:val="38"/>
          <w:szCs w:val="38"/>
          <w:highlight w:val="none"/>
        </w:rPr>
      </w:pPr>
      <w:r>
        <w:rPr>
          <w:rFonts w:hint="eastAsia" w:ascii="仿宋" w:hAnsi="仿宋" w:eastAsia="仿宋" w:cs="仿宋"/>
          <w:color w:val="auto"/>
          <w:spacing w:val="-10"/>
          <w:position w:val="-1"/>
          <w:sz w:val="38"/>
          <w:szCs w:val="38"/>
          <w:highlight w:val="none"/>
        </w:rPr>
        <w:t>第六部分 采购合同</w:t>
      </w:r>
      <w:r>
        <w:rPr>
          <w:rFonts w:hint="eastAsia" w:ascii="仿宋" w:hAnsi="仿宋" w:eastAsia="仿宋" w:cs="仿宋"/>
          <w:color w:val="auto"/>
          <w:spacing w:val="34"/>
          <w:position w:val="-1"/>
          <w:sz w:val="38"/>
          <w:szCs w:val="38"/>
          <w:highlight w:val="none"/>
        </w:rPr>
        <w:t xml:space="preserve"> </w:t>
      </w:r>
      <w:r>
        <w:rPr>
          <w:rFonts w:hint="eastAsia" w:ascii="仿宋" w:hAnsi="仿宋" w:eastAsia="仿宋" w:cs="仿宋"/>
          <w:color w:val="auto"/>
          <w:spacing w:val="-10"/>
          <w:position w:val="-1"/>
          <w:sz w:val="38"/>
          <w:szCs w:val="38"/>
          <w:highlight w:val="none"/>
        </w:rPr>
        <w:t>(格式)</w:t>
      </w:r>
    </w:p>
    <w:p w14:paraId="04591BFE">
      <w:pPr>
        <w:pStyle w:val="4"/>
        <w:spacing w:line="276" w:lineRule="auto"/>
        <w:rPr>
          <w:rFonts w:hint="eastAsia" w:ascii="仿宋" w:hAnsi="仿宋" w:eastAsia="仿宋" w:cs="仿宋"/>
          <w:color w:val="auto"/>
          <w:highlight w:val="none"/>
        </w:rPr>
      </w:pPr>
    </w:p>
    <w:p w14:paraId="4511E22F">
      <w:pPr>
        <w:spacing w:before="124" w:line="296" w:lineRule="exact"/>
        <w:ind w:left="3245"/>
        <w:rPr>
          <w:rFonts w:hint="eastAsia" w:ascii="仿宋" w:hAnsi="仿宋" w:eastAsia="仿宋" w:cs="仿宋"/>
          <w:color w:val="auto"/>
          <w:sz w:val="29"/>
          <w:szCs w:val="29"/>
          <w:highlight w:val="none"/>
        </w:rPr>
      </w:pPr>
      <w:r>
        <w:rPr>
          <w:rFonts w:hint="eastAsia" w:ascii="仿宋" w:hAnsi="仿宋" w:eastAsia="仿宋" w:cs="仿宋"/>
          <w:color w:val="auto"/>
          <w:spacing w:val="-13"/>
          <w:w w:val="96"/>
          <w:position w:val="-1"/>
          <w:sz w:val="29"/>
          <w:szCs w:val="29"/>
          <w:highlight w:val="none"/>
        </w:rPr>
        <w:t>第一部分合同书</w:t>
      </w:r>
    </w:p>
    <w:p w14:paraId="38AECC44">
      <w:pPr>
        <w:pStyle w:val="4"/>
        <w:spacing w:line="283" w:lineRule="auto"/>
        <w:rPr>
          <w:rFonts w:hint="eastAsia" w:ascii="仿宋" w:hAnsi="仿宋" w:eastAsia="仿宋" w:cs="仿宋"/>
          <w:color w:val="auto"/>
          <w:highlight w:val="none"/>
        </w:rPr>
      </w:pPr>
    </w:p>
    <w:p w14:paraId="0710BF4E">
      <w:pPr>
        <w:pStyle w:val="4"/>
        <w:spacing w:line="283" w:lineRule="auto"/>
        <w:rPr>
          <w:rFonts w:hint="eastAsia" w:ascii="仿宋" w:hAnsi="仿宋" w:eastAsia="仿宋" w:cs="仿宋"/>
          <w:color w:val="auto"/>
          <w:highlight w:val="none"/>
        </w:rPr>
      </w:pPr>
    </w:p>
    <w:p w14:paraId="163AA9BB">
      <w:pPr>
        <w:pStyle w:val="4"/>
        <w:spacing w:line="283" w:lineRule="auto"/>
        <w:rPr>
          <w:rFonts w:hint="eastAsia" w:ascii="仿宋" w:hAnsi="仿宋" w:eastAsia="仿宋" w:cs="仿宋"/>
          <w:color w:val="auto"/>
          <w:highlight w:val="none"/>
        </w:rPr>
      </w:pPr>
    </w:p>
    <w:p w14:paraId="088C4762">
      <w:pPr>
        <w:pStyle w:val="4"/>
        <w:spacing w:line="284" w:lineRule="auto"/>
        <w:rPr>
          <w:rFonts w:hint="eastAsia" w:ascii="仿宋" w:hAnsi="仿宋" w:eastAsia="仿宋" w:cs="仿宋"/>
          <w:color w:val="auto"/>
          <w:highlight w:val="none"/>
        </w:rPr>
      </w:pPr>
    </w:p>
    <w:p w14:paraId="34F700D5">
      <w:pPr>
        <w:spacing w:before="75" w:line="228" w:lineRule="auto"/>
        <w:ind w:left="999"/>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项目名称：</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1"/>
          <w:sz w:val="23"/>
          <w:szCs w:val="23"/>
          <w:highlight w:val="none"/>
          <w:u w:val="single" w:color="auto"/>
        </w:rPr>
        <w:t xml:space="preserve">  </w:t>
      </w:r>
    </w:p>
    <w:p w14:paraId="6BBA9478">
      <w:pPr>
        <w:pStyle w:val="4"/>
        <w:spacing w:line="247" w:lineRule="auto"/>
        <w:rPr>
          <w:rFonts w:hint="eastAsia" w:ascii="仿宋" w:hAnsi="仿宋" w:eastAsia="仿宋" w:cs="仿宋"/>
          <w:color w:val="auto"/>
          <w:highlight w:val="none"/>
        </w:rPr>
      </w:pPr>
    </w:p>
    <w:p w14:paraId="01BC8296">
      <w:pPr>
        <w:pStyle w:val="4"/>
        <w:spacing w:line="247" w:lineRule="auto"/>
        <w:rPr>
          <w:rFonts w:hint="eastAsia" w:ascii="仿宋" w:hAnsi="仿宋" w:eastAsia="仿宋" w:cs="仿宋"/>
          <w:color w:val="auto"/>
          <w:highlight w:val="none"/>
        </w:rPr>
      </w:pPr>
    </w:p>
    <w:p w14:paraId="28EE8A62">
      <w:pPr>
        <w:pStyle w:val="4"/>
        <w:spacing w:line="248" w:lineRule="auto"/>
        <w:rPr>
          <w:rFonts w:hint="eastAsia" w:ascii="仿宋" w:hAnsi="仿宋" w:eastAsia="仿宋" w:cs="仿宋"/>
          <w:color w:val="auto"/>
          <w:highlight w:val="none"/>
        </w:rPr>
      </w:pPr>
    </w:p>
    <w:p w14:paraId="25E7F99C">
      <w:pPr>
        <w:pStyle w:val="4"/>
        <w:spacing w:line="248" w:lineRule="auto"/>
        <w:rPr>
          <w:rFonts w:hint="eastAsia" w:ascii="仿宋" w:hAnsi="仿宋" w:eastAsia="仿宋" w:cs="仿宋"/>
          <w:color w:val="auto"/>
          <w:highlight w:val="none"/>
        </w:rPr>
      </w:pPr>
    </w:p>
    <w:p w14:paraId="2EA1B756">
      <w:pPr>
        <w:pStyle w:val="4"/>
        <w:spacing w:line="248" w:lineRule="auto"/>
        <w:rPr>
          <w:rFonts w:hint="eastAsia" w:ascii="仿宋" w:hAnsi="仿宋" w:eastAsia="仿宋" w:cs="仿宋"/>
          <w:color w:val="auto"/>
          <w:highlight w:val="none"/>
        </w:rPr>
      </w:pPr>
    </w:p>
    <w:p w14:paraId="7C11EDB3">
      <w:pPr>
        <w:spacing w:before="75" w:line="229" w:lineRule="auto"/>
        <w:ind w:left="1055"/>
        <w:rPr>
          <w:rFonts w:hint="eastAsia" w:ascii="仿宋" w:hAnsi="仿宋" w:eastAsia="仿宋" w:cs="仿宋"/>
          <w:color w:val="auto"/>
          <w:sz w:val="23"/>
          <w:szCs w:val="23"/>
          <w:highlight w:val="none"/>
        </w:rPr>
      </w:pPr>
      <w:r>
        <w:rPr>
          <w:rFonts w:hint="eastAsia" w:ascii="仿宋" w:hAnsi="仿宋" w:eastAsia="仿宋" w:cs="仿宋"/>
          <w:color w:val="auto"/>
          <w:spacing w:val="-19"/>
          <w:sz w:val="23"/>
          <w:szCs w:val="23"/>
          <w:highlight w:val="none"/>
        </w:rPr>
        <w:t>甲方：</w:t>
      </w:r>
      <w:r>
        <w:rPr>
          <w:rFonts w:hint="eastAsia" w:ascii="仿宋" w:hAnsi="仿宋" w:eastAsia="仿宋" w:cs="仿宋"/>
          <w:color w:val="auto"/>
          <w:sz w:val="23"/>
          <w:szCs w:val="23"/>
          <w:highlight w:val="none"/>
          <w:u w:val="single" w:color="auto"/>
        </w:rPr>
        <w:t xml:space="preserve">                                         </w:t>
      </w:r>
    </w:p>
    <w:p w14:paraId="2448525A">
      <w:pPr>
        <w:pStyle w:val="4"/>
        <w:spacing w:line="248" w:lineRule="auto"/>
        <w:rPr>
          <w:rFonts w:hint="eastAsia" w:ascii="仿宋" w:hAnsi="仿宋" w:eastAsia="仿宋" w:cs="仿宋"/>
          <w:color w:val="auto"/>
          <w:highlight w:val="none"/>
        </w:rPr>
      </w:pPr>
    </w:p>
    <w:p w14:paraId="5383D5C1">
      <w:pPr>
        <w:pStyle w:val="4"/>
        <w:spacing w:line="248" w:lineRule="auto"/>
        <w:rPr>
          <w:rFonts w:hint="eastAsia" w:ascii="仿宋" w:hAnsi="仿宋" w:eastAsia="仿宋" w:cs="仿宋"/>
          <w:color w:val="auto"/>
          <w:highlight w:val="none"/>
        </w:rPr>
      </w:pPr>
    </w:p>
    <w:p w14:paraId="2606A40D">
      <w:pPr>
        <w:spacing w:before="75" w:line="229" w:lineRule="auto"/>
        <w:ind w:left="1038"/>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乙方：</w:t>
      </w:r>
      <w:r>
        <w:rPr>
          <w:rFonts w:hint="eastAsia" w:ascii="仿宋" w:hAnsi="仿宋" w:eastAsia="仿宋" w:cs="仿宋"/>
          <w:color w:val="auto"/>
          <w:spacing w:val="-4"/>
          <w:sz w:val="23"/>
          <w:szCs w:val="23"/>
          <w:highlight w:val="none"/>
          <w:u w:val="single" w:color="auto"/>
        </w:rPr>
        <w:t xml:space="preserve">                                 </w:t>
      </w:r>
      <w:r>
        <w:rPr>
          <w:rFonts w:hint="eastAsia" w:ascii="仿宋" w:hAnsi="仿宋" w:eastAsia="仿宋" w:cs="仿宋"/>
          <w:color w:val="auto"/>
          <w:spacing w:val="-5"/>
          <w:sz w:val="23"/>
          <w:szCs w:val="23"/>
          <w:highlight w:val="none"/>
          <w:u w:val="single" w:color="auto"/>
        </w:rPr>
        <w:t xml:space="preserve">         </w:t>
      </w:r>
    </w:p>
    <w:p w14:paraId="18ADBB54">
      <w:pPr>
        <w:pStyle w:val="4"/>
        <w:spacing w:line="251" w:lineRule="auto"/>
        <w:rPr>
          <w:rFonts w:hint="eastAsia" w:ascii="仿宋" w:hAnsi="仿宋" w:eastAsia="仿宋" w:cs="仿宋"/>
          <w:color w:val="auto"/>
          <w:highlight w:val="none"/>
        </w:rPr>
      </w:pPr>
    </w:p>
    <w:p w14:paraId="0CF9727A">
      <w:pPr>
        <w:pStyle w:val="4"/>
        <w:spacing w:line="252" w:lineRule="auto"/>
        <w:rPr>
          <w:rFonts w:hint="eastAsia" w:ascii="仿宋" w:hAnsi="仿宋" w:eastAsia="仿宋" w:cs="仿宋"/>
          <w:color w:val="auto"/>
          <w:highlight w:val="none"/>
        </w:rPr>
      </w:pPr>
    </w:p>
    <w:p w14:paraId="7D19A6C8">
      <w:pPr>
        <w:spacing w:before="76" w:line="230" w:lineRule="auto"/>
        <w:ind w:left="993"/>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签订地：</w:t>
      </w:r>
      <w:r>
        <w:rPr>
          <w:rFonts w:hint="eastAsia" w:ascii="仿宋" w:hAnsi="仿宋" w:eastAsia="仿宋" w:cs="仿宋"/>
          <w:color w:val="auto"/>
          <w:spacing w:val="2"/>
          <w:sz w:val="23"/>
          <w:szCs w:val="23"/>
          <w:highlight w:val="none"/>
          <w:u w:val="single" w:color="auto"/>
        </w:rPr>
        <w:t xml:space="preserve">                                      </w:t>
      </w:r>
    </w:p>
    <w:p w14:paraId="7E4DA509">
      <w:pPr>
        <w:pStyle w:val="4"/>
        <w:spacing w:line="246" w:lineRule="auto"/>
        <w:rPr>
          <w:rFonts w:hint="eastAsia" w:ascii="仿宋" w:hAnsi="仿宋" w:eastAsia="仿宋" w:cs="仿宋"/>
          <w:color w:val="auto"/>
          <w:highlight w:val="none"/>
        </w:rPr>
      </w:pPr>
    </w:p>
    <w:p w14:paraId="4FEC2065">
      <w:pPr>
        <w:pStyle w:val="4"/>
        <w:spacing w:line="246" w:lineRule="auto"/>
        <w:rPr>
          <w:rFonts w:hint="eastAsia" w:ascii="仿宋" w:hAnsi="仿宋" w:eastAsia="仿宋" w:cs="仿宋"/>
          <w:color w:val="auto"/>
          <w:highlight w:val="none"/>
        </w:rPr>
      </w:pPr>
    </w:p>
    <w:p w14:paraId="28E5D878">
      <w:pPr>
        <w:spacing w:before="75" w:line="227" w:lineRule="auto"/>
        <w:ind w:left="993"/>
        <w:rPr>
          <w:rFonts w:hint="eastAsia" w:ascii="仿宋" w:hAnsi="仿宋" w:eastAsia="仿宋" w:cs="仿宋"/>
          <w:color w:val="auto"/>
          <w:sz w:val="23"/>
          <w:szCs w:val="23"/>
          <w:highlight w:val="none"/>
        </w:rPr>
      </w:pPr>
      <w:r>
        <w:rPr>
          <w:rFonts w:hint="eastAsia" w:ascii="仿宋" w:hAnsi="仿宋" w:eastAsia="仿宋" w:cs="仿宋"/>
          <w:color w:val="auto"/>
          <w:spacing w:val="-10"/>
          <w:sz w:val="23"/>
          <w:szCs w:val="23"/>
          <w:highlight w:val="none"/>
        </w:rPr>
        <w:t>签订日期：</w:t>
      </w:r>
      <w:r>
        <w:rPr>
          <w:rFonts w:hint="eastAsia" w:ascii="仿宋" w:hAnsi="仿宋" w:eastAsia="仿宋" w:cs="仿宋"/>
          <w:color w:val="auto"/>
          <w:spacing w:val="-15"/>
          <w:sz w:val="23"/>
          <w:szCs w:val="23"/>
          <w:highlight w:val="none"/>
        </w:rPr>
        <w:t xml:space="preserve"> </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72"/>
          <w:sz w:val="23"/>
          <w:szCs w:val="23"/>
          <w:highlight w:val="none"/>
        </w:rPr>
        <w:t xml:space="preserve"> </w:t>
      </w:r>
      <w:r>
        <w:rPr>
          <w:rFonts w:hint="eastAsia" w:ascii="仿宋" w:hAnsi="仿宋" w:eastAsia="仿宋" w:cs="仿宋"/>
          <w:color w:val="auto"/>
          <w:spacing w:val="-10"/>
          <w:sz w:val="23"/>
          <w:szCs w:val="23"/>
          <w:highlight w:val="none"/>
        </w:rPr>
        <w:t>年</w:t>
      </w:r>
      <w:r>
        <w:rPr>
          <w:rFonts w:hint="eastAsia" w:ascii="仿宋" w:hAnsi="仿宋" w:eastAsia="仿宋" w:cs="仿宋"/>
          <w:color w:val="auto"/>
          <w:spacing w:val="5"/>
          <w:sz w:val="23"/>
          <w:szCs w:val="23"/>
          <w:highlight w:val="none"/>
          <w:u w:val="single" w:color="auto"/>
        </w:rPr>
        <w:t xml:space="preserve">       </w:t>
      </w:r>
      <w:r>
        <w:rPr>
          <w:rFonts w:hint="eastAsia" w:ascii="仿宋" w:hAnsi="仿宋" w:eastAsia="仿宋" w:cs="仿宋"/>
          <w:color w:val="auto"/>
          <w:spacing w:val="-85"/>
          <w:sz w:val="23"/>
          <w:szCs w:val="23"/>
          <w:highlight w:val="none"/>
        </w:rPr>
        <w:t xml:space="preserve"> </w:t>
      </w:r>
      <w:r>
        <w:rPr>
          <w:rFonts w:hint="eastAsia" w:ascii="仿宋" w:hAnsi="仿宋" w:eastAsia="仿宋" w:cs="仿宋"/>
          <w:color w:val="auto"/>
          <w:spacing w:val="-10"/>
          <w:sz w:val="23"/>
          <w:szCs w:val="23"/>
          <w:highlight w:val="none"/>
        </w:rPr>
        <w:t>月</w:t>
      </w:r>
      <w:r>
        <w:rPr>
          <w:rFonts w:hint="eastAsia" w:ascii="仿宋" w:hAnsi="仿宋" w:eastAsia="仿宋" w:cs="仿宋"/>
          <w:color w:val="auto"/>
          <w:spacing w:val="4"/>
          <w:sz w:val="23"/>
          <w:szCs w:val="23"/>
          <w:highlight w:val="none"/>
          <w:u w:val="single" w:color="auto"/>
        </w:rPr>
        <w:t xml:space="preserve">       </w:t>
      </w:r>
      <w:r>
        <w:rPr>
          <w:rFonts w:hint="eastAsia" w:ascii="仿宋" w:hAnsi="仿宋" w:eastAsia="仿宋" w:cs="仿宋"/>
          <w:color w:val="auto"/>
          <w:spacing w:val="-10"/>
          <w:sz w:val="23"/>
          <w:szCs w:val="23"/>
          <w:highlight w:val="none"/>
        </w:rPr>
        <w:t xml:space="preserve"> 日</w:t>
      </w:r>
    </w:p>
    <w:p w14:paraId="18D5AB4C">
      <w:pPr>
        <w:spacing w:line="227" w:lineRule="auto"/>
        <w:rPr>
          <w:rFonts w:hint="eastAsia" w:ascii="仿宋" w:hAnsi="仿宋" w:eastAsia="仿宋" w:cs="仿宋"/>
          <w:color w:val="auto"/>
          <w:sz w:val="23"/>
          <w:szCs w:val="23"/>
          <w:highlight w:val="none"/>
        </w:rPr>
      </w:pPr>
    </w:p>
    <w:p w14:paraId="7A37DAC7">
      <w:pPr>
        <w:bidi w:val="0"/>
        <w:rPr>
          <w:rFonts w:hint="eastAsia" w:ascii="仿宋" w:hAnsi="仿宋" w:eastAsia="仿宋" w:cs="仿宋"/>
          <w:snapToGrid w:val="0"/>
          <w:color w:val="auto"/>
          <w:kern w:val="0"/>
          <w:sz w:val="21"/>
          <w:szCs w:val="21"/>
          <w:highlight w:val="none"/>
          <w:lang w:val="en-US" w:eastAsia="en-US" w:bidi="ar-SA"/>
        </w:rPr>
      </w:pPr>
    </w:p>
    <w:p w14:paraId="723B99BC">
      <w:pPr>
        <w:bidi w:val="0"/>
        <w:rPr>
          <w:rFonts w:hint="eastAsia" w:ascii="仿宋" w:hAnsi="仿宋" w:eastAsia="仿宋" w:cs="仿宋"/>
          <w:color w:val="auto"/>
          <w:highlight w:val="none"/>
          <w:lang w:val="en-US" w:eastAsia="en-US"/>
        </w:rPr>
      </w:pPr>
    </w:p>
    <w:p w14:paraId="1692A596">
      <w:pPr>
        <w:bidi w:val="0"/>
        <w:jc w:val="left"/>
        <w:rPr>
          <w:rFonts w:hint="eastAsia" w:ascii="仿宋" w:hAnsi="仿宋" w:eastAsia="仿宋" w:cs="仿宋"/>
          <w:color w:val="auto"/>
          <w:highlight w:val="none"/>
          <w:lang w:val="en-US" w:eastAsia="en-US"/>
        </w:rPr>
        <w:sectPr>
          <w:footerReference r:id="rId17" w:type="default"/>
          <w:pgSz w:w="11905" w:h="16838"/>
          <w:pgMar w:top="1020" w:right="1134" w:bottom="1020" w:left="1134" w:header="0" w:footer="573" w:gutter="0"/>
          <w:pgNumType w:fmt="decimal"/>
          <w:cols w:space="0" w:num="1"/>
          <w:rtlGutter w:val="0"/>
          <w:docGrid w:linePitch="0" w:charSpace="0"/>
        </w:sectPr>
      </w:pPr>
    </w:p>
    <w:p w14:paraId="2D713D7E">
      <w:pPr>
        <w:spacing w:before="75" w:line="439" w:lineRule="auto"/>
        <w:ind w:right="2" w:firstLine="726" w:firstLineChars="300"/>
        <w:jc w:val="both"/>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u w:val="single" w:color="auto"/>
        </w:rPr>
        <w:tab/>
      </w:r>
      <w:r>
        <w:rPr>
          <w:rFonts w:hint="eastAsia" w:ascii="仿宋" w:hAnsi="仿宋" w:eastAsia="仿宋" w:cs="仿宋"/>
          <w:color w:val="auto"/>
          <w:spacing w:val="6"/>
          <w:sz w:val="23"/>
          <w:szCs w:val="23"/>
          <w:highlight w:val="none"/>
          <w:u w:val="single" w:color="auto"/>
        </w:rPr>
        <w:t xml:space="preserve"> 年    月    日，  （采购人名称）   以  （政府采购方式）  对  （同前页项目名称）     项目进行了采购。经    （相关评定主体名称）    评定，   （中标 供应商名称）</w:t>
      </w:r>
      <w:r>
        <w:rPr>
          <w:rFonts w:hint="eastAsia" w:ascii="仿宋" w:hAnsi="仿宋" w:eastAsia="仿宋" w:cs="仿宋"/>
          <w:color w:val="auto"/>
          <w:spacing w:val="91"/>
          <w:sz w:val="23"/>
          <w:szCs w:val="23"/>
          <w:highlight w:val="none"/>
          <w:u w:val="single" w:color="auto"/>
        </w:rPr>
        <w:t xml:space="preserve"> </w:t>
      </w:r>
      <w:r>
        <w:rPr>
          <w:rFonts w:hint="eastAsia" w:ascii="仿宋" w:hAnsi="仿宋" w:eastAsia="仿宋" w:cs="仿宋"/>
          <w:color w:val="auto"/>
          <w:spacing w:val="-76"/>
          <w:sz w:val="23"/>
          <w:szCs w:val="23"/>
          <w:highlight w:val="none"/>
        </w:rPr>
        <w:t xml:space="preserve"> </w:t>
      </w:r>
      <w:r>
        <w:rPr>
          <w:rFonts w:hint="eastAsia" w:ascii="仿宋" w:hAnsi="仿宋" w:eastAsia="仿宋" w:cs="仿宋"/>
          <w:color w:val="auto"/>
          <w:spacing w:val="6"/>
          <w:sz w:val="23"/>
          <w:szCs w:val="23"/>
          <w:highlight w:val="none"/>
        </w:rPr>
        <w:t>为该项目中标供应商。现于中标通知书发出之日起三十日内，按照采购</w:t>
      </w:r>
    </w:p>
    <w:p w14:paraId="269722FF">
      <w:pPr>
        <w:spacing w:line="226" w:lineRule="auto"/>
        <w:ind w:left="5"/>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文件确定的事项签订本合同。</w:t>
      </w:r>
    </w:p>
    <w:p w14:paraId="76A48B23">
      <w:pPr>
        <w:spacing w:before="276" w:line="227" w:lineRule="auto"/>
        <w:ind w:right="2"/>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根据《中华人民共和国合同法》、《中华人民共和国政府采购</w:t>
      </w:r>
      <w:r>
        <w:rPr>
          <w:rFonts w:hint="eastAsia" w:ascii="仿宋" w:hAnsi="仿宋" w:eastAsia="仿宋" w:cs="仿宋"/>
          <w:color w:val="auto"/>
          <w:spacing w:val="7"/>
          <w:sz w:val="23"/>
          <w:szCs w:val="23"/>
          <w:highlight w:val="none"/>
        </w:rPr>
        <w:t>法》等相关法律法规</w:t>
      </w:r>
    </w:p>
    <w:p w14:paraId="06A0D667">
      <w:pPr>
        <w:spacing w:before="298" w:line="440" w:lineRule="auto"/>
        <w:ind w:right="71" w:firstLine="5"/>
        <w:jc w:val="both"/>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之规定，按照平等、 自愿、公平和诚实信用的原则，经</w:t>
      </w:r>
      <w:r>
        <w:rPr>
          <w:rFonts w:hint="eastAsia" w:ascii="仿宋" w:hAnsi="仿宋" w:eastAsia="仿宋" w:cs="仿宋"/>
          <w:color w:val="auto"/>
          <w:spacing w:val="3"/>
          <w:sz w:val="23"/>
          <w:szCs w:val="23"/>
          <w:highlight w:val="none"/>
          <w:u w:val="single" w:color="auto"/>
        </w:rPr>
        <w:t xml:space="preserve">   （采购人名称）   </w:t>
      </w:r>
      <w:r>
        <w:rPr>
          <w:rFonts w:hint="eastAsia" w:ascii="仿宋" w:hAnsi="仿宋" w:eastAsia="仿宋" w:cs="仿宋"/>
          <w:color w:val="auto"/>
          <w:spacing w:val="3"/>
          <w:sz w:val="23"/>
          <w:szCs w:val="23"/>
          <w:highlight w:val="none"/>
        </w:rPr>
        <w:t xml:space="preserve"> (以</w:t>
      </w:r>
      <w:r>
        <w:rPr>
          <w:rFonts w:hint="eastAsia" w:ascii="仿宋" w:hAnsi="仿宋" w:eastAsia="仿宋" w:cs="仿宋"/>
          <w:color w:val="auto"/>
          <w:spacing w:val="2"/>
          <w:sz w:val="23"/>
          <w:szCs w:val="23"/>
          <w:highlight w:val="none"/>
        </w:rPr>
        <w:t>下简</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7"/>
          <w:sz w:val="23"/>
          <w:szCs w:val="23"/>
          <w:highlight w:val="none"/>
        </w:rPr>
        <w:t>称： 甲方)和</w:t>
      </w:r>
      <w:r>
        <w:rPr>
          <w:rFonts w:hint="eastAsia" w:ascii="仿宋" w:hAnsi="仿宋" w:eastAsia="仿宋" w:cs="仿宋"/>
          <w:color w:val="auto"/>
          <w:spacing w:val="30"/>
          <w:sz w:val="23"/>
          <w:szCs w:val="23"/>
          <w:highlight w:val="none"/>
          <w:u w:val="single" w:color="auto"/>
        </w:rPr>
        <w:t xml:space="preserve">   </w:t>
      </w:r>
      <w:r>
        <w:rPr>
          <w:rFonts w:hint="eastAsia" w:ascii="仿宋" w:hAnsi="仿宋" w:eastAsia="仿宋" w:cs="仿宋"/>
          <w:color w:val="auto"/>
          <w:spacing w:val="-7"/>
          <w:sz w:val="23"/>
          <w:szCs w:val="23"/>
          <w:highlight w:val="none"/>
          <w:u w:val="single" w:color="auto"/>
        </w:rPr>
        <w:t xml:space="preserve">（中标供应商名称）    </w:t>
      </w:r>
      <w:r>
        <w:rPr>
          <w:rFonts w:hint="eastAsia" w:ascii="仿宋" w:hAnsi="仿宋" w:eastAsia="仿宋" w:cs="仿宋"/>
          <w:color w:val="auto"/>
          <w:spacing w:val="-7"/>
          <w:sz w:val="23"/>
          <w:szCs w:val="23"/>
          <w:highlight w:val="none"/>
        </w:rPr>
        <w:t xml:space="preserve"> (以下简称： 乙方)协商一致， 约定以下合同条</w:t>
      </w:r>
    </w:p>
    <w:p w14:paraId="23CBA1C6">
      <w:pPr>
        <w:spacing w:line="227" w:lineRule="auto"/>
        <w:ind w:left="4"/>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款， 以兹共同遵守、全面履行。</w:t>
      </w:r>
    </w:p>
    <w:p w14:paraId="22DDEDF2">
      <w:pPr>
        <w:pStyle w:val="4"/>
        <w:spacing w:before="250" w:line="171" w:lineRule="auto"/>
        <w:ind w:left="501"/>
        <w:outlineLvl w:val="1"/>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1.1</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7"/>
          <w:sz w:val="24"/>
          <w:szCs w:val="24"/>
          <w:highlight w:val="none"/>
        </w:rPr>
        <w:t>合同组成部分</w:t>
      </w:r>
    </w:p>
    <w:p w14:paraId="4858068D">
      <w:pPr>
        <w:spacing w:before="289" w:line="227" w:lineRule="auto"/>
        <w:jc w:val="center"/>
        <w:outlineLvl w:val="1"/>
        <w:rPr>
          <w:rFonts w:hint="eastAsia" w:ascii="仿宋" w:hAnsi="仿宋" w:eastAsia="仿宋" w:cs="仿宋"/>
          <w:color w:val="auto"/>
          <w:highlight w:val="none"/>
        </w:rPr>
      </w:pPr>
      <w:r>
        <w:rPr>
          <w:rFonts w:hint="eastAsia" w:ascii="仿宋" w:hAnsi="仿宋" w:eastAsia="仿宋" w:cs="仿宋"/>
          <w:color w:val="auto"/>
          <w:spacing w:val="8"/>
          <w:sz w:val="23"/>
          <w:szCs w:val="23"/>
          <w:highlight w:val="none"/>
        </w:rPr>
        <w:t>下列文件为本合同的组成部分，并构成一个整</w:t>
      </w:r>
      <w:r>
        <w:rPr>
          <w:rFonts w:hint="eastAsia" w:ascii="仿宋" w:hAnsi="仿宋" w:eastAsia="仿宋" w:cs="仿宋"/>
          <w:color w:val="auto"/>
          <w:spacing w:val="7"/>
          <w:sz w:val="23"/>
          <w:szCs w:val="23"/>
          <w:highlight w:val="none"/>
        </w:rPr>
        <w:t>体，需综合解释、相互补充。如果下</w:t>
      </w:r>
    </w:p>
    <w:p w14:paraId="4BA960ED">
      <w:pPr>
        <w:spacing w:before="267" w:line="572" w:lineRule="exact"/>
        <w:jc w:val="both"/>
        <w:rPr>
          <w:rFonts w:hint="eastAsia" w:ascii="仿宋" w:hAnsi="仿宋" w:eastAsia="仿宋" w:cs="仿宋"/>
          <w:color w:val="auto"/>
          <w:sz w:val="23"/>
          <w:szCs w:val="23"/>
          <w:highlight w:val="none"/>
        </w:rPr>
      </w:pPr>
      <w:r>
        <w:rPr>
          <w:rFonts w:hint="eastAsia" w:ascii="仿宋" w:hAnsi="仿宋" w:eastAsia="仿宋" w:cs="仿宋"/>
          <w:color w:val="auto"/>
          <w:spacing w:val="5"/>
          <w:position w:val="25"/>
          <w:sz w:val="23"/>
          <w:szCs w:val="23"/>
          <w:highlight w:val="none"/>
        </w:rPr>
        <w:t>列文件内容出现不一致的情形，那么在保证</w:t>
      </w:r>
      <w:r>
        <w:rPr>
          <w:rFonts w:hint="eastAsia" w:ascii="仿宋" w:hAnsi="仿宋" w:eastAsia="仿宋" w:cs="仿宋"/>
          <w:color w:val="auto"/>
          <w:spacing w:val="4"/>
          <w:position w:val="25"/>
          <w:sz w:val="23"/>
          <w:szCs w:val="23"/>
          <w:highlight w:val="none"/>
        </w:rPr>
        <w:t>按照采购文件确定的事项的前提下， 组成本</w:t>
      </w:r>
    </w:p>
    <w:p w14:paraId="32BE9505">
      <w:pPr>
        <w:spacing w:line="227" w:lineRule="auto"/>
        <w:ind w:left="4"/>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合同的多个文件的优先适用顺序如下：</w:t>
      </w:r>
    </w:p>
    <w:p w14:paraId="3FA63DD4">
      <w:pPr>
        <w:spacing w:before="273" w:line="227"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1.1.1 本合同及其补充合同、变更协</w:t>
      </w:r>
      <w:r>
        <w:rPr>
          <w:rFonts w:hint="eastAsia" w:ascii="仿宋" w:hAnsi="仿宋" w:eastAsia="仿宋" w:cs="仿宋"/>
          <w:color w:val="auto"/>
          <w:spacing w:val="4"/>
          <w:sz w:val="23"/>
          <w:szCs w:val="23"/>
          <w:highlight w:val="none"/>
        </w:rPr>
        <w:t>议；</w:t>
      </w:r>
    </w:p>
    <w:p w14:paraId="41EE60B2">
      <w:pPr>
        <w:spacing w:before="279" w:line="227"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1.1.2</w:t>
      </w:r>
      <w:r>
        <w:rPr>
          <w:rFonts w:hint="eastAsia" w:ascii="仿宋" w:hAnsi="仿宋" w:eastAsia="仿宋" w:cs="仿宋"/>
          <w:color w:val="auto"/>
          <w:spacing w:val="79"/>
          <w:sz w:val="23"/>
          <w:szCs w:val="23"/>
          <w:highlight w:val="none"/>
        </w:rPr>
        <w:t xml:space="preserve"> </w:t>
      </w:r>
      <w:r>
        <w:rPr>
          <w:rFonts w:hint="eastAsia" w:ascii="仿宋" w:hAnsi="仿宋" w:eastAsia="仿宋" w:cs="仿宋"/>
          <w:color w:val="auto"/>
          <w:spacing w:val="-4"/>
          <w:sz w:val="23"/>
          <w:szCs w:val="23"/>
          <w:highlight w:val="none"/>
        </w:rPr>
        <w:t>中标通知书；</w:t>
      </w:r>
    </w:p>
    <w:p w14:paraId="447C086A">
      <w:pPr>
        <w:spacing w:before="280" w:line="227"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1.1.3 响应文件（含澄清或者说明文件</w:t>
      </w:r>
      <w:r>
        <w:rPr>
          <w:rFonts w:hint="eastAsia" w:ascii="仿宋" w:hAnsi="仿宋" w:eastAsia="仿宋" w:cs="仿宋"/>
          <w:color w:val="auto"/>
          <w:spacing w:val="1"/>
          <w:sz w:val="23"/>
          <w:szCs w:val="23"/>
          <w:highlight w:val="none"/>
        </w:rPr>
        <w:t>）；</w:t>
      </w:r>
    </w:p>
    <w:p w14:paraId="33DC461F">
      <w:pPr>
        <w:spacing w:before="274" w:line="227"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1.1.4 征集文件（含澄清或者修改文件</w:t>
      </w:r>
      <w:r>
        <w:rPr>
          <w:rFonts w:hint="eastAsia" w:ascii="仿宋" w:hAnsi="仿宋" w:eastAsia="仿宋" w:cs="仿宋"/>
          <w:color w:val="auto"/>
          <w:spacing w:val="1"/>
          <w:sz w:val="23"/>
          <w:szCs w:val="23"/>
          <w:highlight w:val="none"/>
        </w:rPr>
        <w:t>）；</w:t>
      </w:r>
    </w:p>
    <w:p w14:paraId="45AFAB98">
      <w:pPr>
        <w:spacing w:before="275" w:line="227"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1.1.5 其他相关采购文件。</w:t>
      </w:r>
    </w:p>
    <w:p w14:paraId="1514D054">
      <w:pPr>
        <w:pStyle w:val="4"/>
        <w:spacing w:before="250" w:line="295" w:lineRule="exact"/>
        <w:ind w:left="501"/>
        <w:outlineLvl w:val="1"/>
        <w:rPr>
          <w:rFonts w:hint="eastAsia" w:ascii="仿宋" w:hAnsi="仿宋" w:eastAsia="仿宋" w:cs="仿宋"/>
          <w:color w:val="auto"/>
          <w:sz w:val="27"/>
          <w:szCs w:val="27"/>
          <w:highlight w:val="none"/>
        </w:rPr>
      </w:pPr>
      <w:r>
        <w:rPr>
          <w:rFonts w:hint="eastAsia" w:ascii="仿宋" w:hAnsi="仿宋" w:eastAsia="仿宋" w:cs="仿宋"/>
          <w:color w:val="auto"/>
          <w:spacing w:val="-16"/>
          <w:position w:val="-1"/>
          <w:sz w:val="27"/>
          <w:szCs w:val="27"/>
          <w:highlight w:val="none"/>
        </w:rPr>
        <w:t>1.2</w:t>
      </w:r>
      <w:r>
        <w:rPr>
          <w:rFonts w:hint="eastAsia" w:ascii="仿宋" w:hAnsi="仿宋" w:eastAsia="仿宋" w:cs="仿宋"/>
          <w:color w:val="auto"/>
          <w:spacing w:val="45"/>
          <w:position w:val="-1"/>
          <w:sz w:val="27"/>
          <w:szCs w:val="27"/>
          <w:highlight w:val="none"/>
        </w:rPr>
        <w:t xml:space="preserve"> </w:t>
      </w:r>
      <w:r>
        <w:rPr>
          <w:rFonts w:hint="eastAsia" w:ascii="仿宋" w:hAnsi="仿宋" w:eastAsia="仿宋" w:cs="仿宋"/>
          <w:color w:val="auto"/>
          <w:spacing w:val="-16"/>
          <w:position w:val="-1"/>
          <w:sz w:val="27"/>
          <w:szCs w:val="27"/>
          <w:highlight w:val="none"/>
        </w:rPr>
        <w:t>标的</w:t>
      </w:r>
    </w:p>
    <w:p w14:paraId="2716825E">
      <w:pPr>
        <w:spacing w:before="291" w:line="228"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1.2.1 标的名称</w:t>
      </w:r>
      <w:r>
        <w:rPr>
          <w:rFonts w:hint="eastAsia" w:ascii="仿宋" w:hAnsi="仿宋" w:eastAsia="仿宋" w:cs="仿宋"/>
          <w:color w:val="auto"/>
          <w:spacing w:val="5"/>
          <w:sz w:val="23"/>
          <w:szCs w:val="23"/>
          <w:highlight w:val="none"/>
        </w:rPr>
        <w:t>：</w:t>
      </w:r>
      <w:r>
        <w:rPr>
          <w:rFonts w:hint="eastAsia" w:ascii="仿宋" w:hAnsi="仿宋" w:eastAsia="仿宋" w:cs="仿宋"/>
          <w:color w:val="auto"/>
          <w:sz w:val="23"/>
          <w:szCs w:val="23"/>
          <w:highlight w:val="none"/>
          <w:u w:val="single" w:color="auto"/>
        </w:rPr>
        <w:t xml:space="preserve">                                                  </w:t>
      </w:r>
      <w:r>
        <w:rPr>
          <w:rFonts w:hint="eastAsia" w:ascii="仿宋" w:hAnsi="仿宋" w:eastAsia="仿宋" w:cs="仿宋"/>
          <w:color w:val="auto"/>
          <w:spacing w:val="5"/>
          <w:sz w:val="23"/>
          <w:szCs w:val="23"/>
          <w:highlight w:val="none"/>
        </w:rPr>
        <w:t>；</w:t>
      </w:r>
    </w:p>
    <w:p w14:paraId="12F9EDAD">
      <w:pPr>
        <w:spacing w:before="278" w:line="227"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1.2.2 标的数量</w:t>
      </w:r>
      <w:r>
        <w:rPr>
          <w:rFonts w:hint="eastAsia" w:ascii="仿宋" w:hAnsi="仿宋" w:eastAsia="仿宋" w:cs="仿宋"/>
          <w:color w:val="auto"/>
          <w:spacing w:val="5"/>
          <w:sz w:val="23"/>
          <w:szCs w:val="23"/>
          <w:highlight w:val="none"/>
        </w:rPr>
        <w:t>：</w:t>
      </w:r>
      <w:r>
        <w:rPr>
          <w:rFonts w:hint="eastAsia" w:ascii="仿宋" w:hAnsi="仿宋" w:eastAsia="仿宋" w:cs="仿宋"/>
          <w:color w:val="auto"/>
          <w:sz w:val="23"/>
          <w:szCs w:val="23"/>
          <w:highlight w:val="none"/>
          <w:u w:val="single" w:color="auto"/>
        </w:rPr>
        <w:t xml:space="preserve">                                                  </w:t>
      </w:r>
      <w:r>
        <w:rPr>
          <w:rFonts w:hint="eastAsia" w:ascii="仿宋" w:hAnsi="仿宋" w:eastAsia="仿宋" w:cs="仿宋"/>
          <w:color w:val="auto"/>
          <w:spacing w:val="5"/>
          <w:sz w:val="23"/>
          <w:szCs w:val="23"/>
          <w:highlight w:val="none"/>
        </w:rPr>
        <w:t>；</w:t>
      </w:r>
    </w:p>
    <w:p w14:paraId="36A7DB39">
      <w:pPr>
        <w:spacing w:before="276" w:line="228"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1.2.3 标的质量：</w:t>
      </w:r>
      <w:r>
        <w:rPr>
          <w:rFonts w:hint="eastAsia" w:ascii="仿宋" w:hAnsi="仿宋" w:eastAsia="仿宋" w:cs="仿宋"/>
          <w:color w:val="auto"/>
          <w:spacing w:val="-25"/>
          <w:sz w:val="23"/>
          <w:szCs w:val="23"/>
          <w:highlight w:val="none"/>
        </w:rPr>
        <w:t xml:space="preserve"> </w:t>
      </w:r>
      <w:r>
        <w:rPr>
          <w:rFonts w:hint="eastAsia" w:ascii="仿宋" w:hAnsi="仿宋" w:eastAsia="仿宋" w:cs="仿宋"/>
          <w:color w:val="auto"/>
          <w:spacing w:val="-4"/>
          <w:sz w:val="23"/>
          <w:szCs w:val="23"/>
          <w:highlight w:val="none"/>
          <w:u w:val="single" w:color="auto"/>
        </w:rPr>
        <w:t xml:space="preserve">                       </w:t>
      </w:r>
      <w:r>
        <w:rPr>
          <w:rFonts w:hint="eastAsia" w:ascii="仿宋" w:hAnsi="仿宋" w:eastAsia="仿宋" w:cs="仿宋"/>
          <w:color w:val="auto"/>
          <w:spacing w:val="-5"/>
          <w:sz w:val="23"/>
          <w:szCs w:val="23"/>
          <w:highlight w:val="none"/>
          <w:u w:val="single" w:color="auto"/>
        </w:rPr>
        <w:t xml:space="preserve">                             </w:t>
      </w:r>
      <w:r>
        <w:rPr>
          <w:rFonts w:hint="eastAsia" w:ascii="仿宋" w:hAnsi="仿宋" w:eastAsia="仿宋" w:cs="仿宋"/>
          <w:color w:val="auto"/>
          <w:spacing w:val="-5"/>
          <w:sz w:val="23"/>
          <w:szCs w:val="23"/>
          <w:highlight w:val="none"/>
        </w:rPr>
        <w:t>。</w:t>
      </w:r>
    </w:p>
    <w:p w14:paraId="37A33EC7">
      <w:pPr>
        <w:pStyle w:val="4"/>
        <w:spacing w:before="244" w:line="166" w:lineRule="auto"/>
        <w:ind w:left="501"/>
        <w:outlineLvl w:val="1"/>
        <w:rPr>
          <w:rFonts w:hint="eastAsia" w:ascii="仿宋" w:hAnsi="仿宋" w:eastAsia="仿宋" w:cs="仿宋"/>
          <w:color w:val="auto"/>
          <w:sz w:val="25"/>
          <w:szCs w:val="25"/>
          <w:highlight w:val="none"/>
        </w:rPr>
      </w:pPr>
      <w:r>
        <w:rPr>
          <w:rFonts w:hint="eastAsia" w:ascii="仿宋" w:hAnsi="仿宋" w:eastAsia="仿宋" w:cs="仿宋"/>
          <w:color w:val="auto"/>
          <w:spacing w:val="2"/>
          <w:sz w:val="25"/>
          <w:szCs w:val="25"/>
          <w:highlight w:val="none"/>
        </w:rPr>
        <w:t>1.3</w:t>
      </w:r>
      <w:r>
        <w:rPr>
          <w:rFonts w:hint="eastAsia" w:ascii="仿宋" w:hAnsi="仿宋" w:eastAsia="仿宋" w:cs="仿宋"/>
          <w:color w:val="auto"/>
          <w:spacing w:val="51"/>
          <w:w w:val="101"/>
          <w:sz w:val="25"/>
          <w:szCs w:val="25"/>
          <w:highlight w:val="none"/>
        </w:rPr>
        <w:t xml:space="preserve"> </w:t>
      </w:r>
      <w:r>
        <w:rPr>
          <w:rFonts w:hint="eastAsia" w:ascii="仿宋" w:hAnsi="仿宋" w:eastAsia="仿宋" w:cs="仿宋"/>
          <w:color w:val="auto"/>
          <w:spacing w:val="2"/>
          <w:sz w:val="25"/>
          <w:szCs w:val="25"/>
          <w:highlight w:val="none"/>
        </w:rPr>
        <w:t>价款</w:t>
      </w:r>
    </w:p>
    <w:p w14:paraId="7FC59272">
      <w:pPr>
        <w:spacing w:before="294" w:line="226" w:lineRule="auto"/>
        <w:ind w:left="48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本合同总价为：</w:t>
      </w:r>
      <w:r>
        <w:rPr>
          <w:rFonts w:hint="eastAsia" w:ascii="仿宋" w:hAnsi="仿宋" w:eastAsia="仿宋" w:cs="仿宋"/>
          <w:color w:val="auto"/>
          <w:spacing w:val="-77"/>
          <w:sz w:val="23"/>
          <w:szCs w:val="23"/>
          <w:highlight w:val="none"/>
        </w:rPr>
        <w:t xml:space="preserve"> </w:t>
      </w:r>
      <w:r>
        <w:rPr>
          <w:rFonts w:hint="eastAsia" w:ascii="仿宋" w:hAnsi="仿宋" w:eastAsia="仿宋" w:cs="仿宋"/>
          <w:color w:val="auto"/>
          <w:spacing w:val="-7"/>
          <w:sz w:val="23"/>
          <w:szCs w:val="23"/>
          <w:highlight w:val="none"/>
        </w:rPr>
        <w:t>￥</w:t>
      </w:r>
      <w:r>
        <w:rPr>
          <w:rFonts w:hint="eastAsia" w:ascii="仿宋" w:hAnsi="仿宋" w:eastAsia="仿宋" w:cs="仿宋"/>
          <w:color w:val="auto"/>
          <w:spacing w:val="-58"/>
          <w:sz w:val="23"/>
          <w:szCs w:val="23"/>
          <w:highlight w:val="none"/>
        </w:rPr>
        <w:t xml:space="preserve"> </w:t>
      </w:r>
      <w:r>
        <w:rPr>
          <w:rFonts w:hint="eastAsia" w:ascii="仿宋" w:hAnsi="仿宋" w:eastAsia="仿宋" w:cs="仿宋"/>
          <w:color w:val="auto"/>
          <w:spacing w:val="5"/>
          <w:sz w:val="23"/>
          <w:szCs w:val="23"/>
          <w:highlight w:val="none"/>
          <w:u w:val="single" w:color="auto"/>
        </w:rPr>
        <w:t xml:space="preserve">           </w:t>
      </w:r>
      <w:r>
        <w:rPr>
          <w:rFonts w:hint="eastAsia" w:ascii="仿宋" w:hAnsi="仿宋" w:eastAsia="仿宋" w:cs="仿宋"/>
          <w:color w:val="auto"/>
          <w:spacing w:val="-91"/>
          <w:sz w:val="23"/>
          <w:szCs w:val="23"/>
          <w:highlight w:val="none"/>
        </w:rPr>
        <w:t xml:space="preserve"> </w:t>
      </w:r>
      <w:r>
        <w:rPr>
          <w:rFonts w:hint="eastAsia" w:ascii="仿宋" w:hAnsi="仿宋" w:eastAsia="仿宋" w:cs="仿宋"/>
          <w:color w:val="auto"/>
          <w:spacing w:val="-7"/>
          <w:sz w:val="23"/>
          <w:szCs w:val="23"/>
          <w:highlight w:val="none"/>
        </w:rPr>
        <w:t xml:space="preserve">元（大写： </w:t>
      </w:r>
      <w:r>
        <w:rPr>
          <w:rFonts w:hint="eastAsia" w:ascii="仿宋" w:hAnsi="仿宋" w:eastAsia="仿宋" w:cs="仿宋"/>
          <w:color w:val="auto"/>
          <w:spacing w:val="3"/>
          <w:sz w:val="23"/>
          <w:szCs w:val="23"/>
          <w:highlight w:val="none"/>
          <w:u w:val="single" w:color="auto"/>
        </w:rPr>
        <w:t xml:space="preserve">                 </w:t>
      </w:r>
      <w:r>
        <w:rPr>
          <w:rFonts w:hint="eastAsia" w:ascii="仿宋" w:hAnsi="仿宋" w:eastAsia="仿宋" w:cs="仿宋"/>
          <w:color w:val="auto"/>
          <w:spacing w:val="-91"/>
          <w:sz w:val="23"/>
          <w:szCs w:val="23"/>
          <w:highlight w:val="none"/>
        </w:rPr>
        <w:t xml:space="preserve"> </w:t>
      </w:r>
      <w:r>
        <w:rPr>
          <w:rFonts w:hint="eastAsia" w:ascii="仿宋" w:hAnsi="仿宋" w:eastAsia="仿宋" w:cs="仿宋"/>
          <w:color w:val="auto"/>
          <w:spacing w:val="-7"/>
          <w:sz w:val="23"/>
          <w:szCs w:val="23"/>
          <w:highlight w:val="none"/>
        </w:rPr>
        <w:t>元人民币）</w:t>
      </w:r>
      <w:r>
        <w:rPr>
          <w:rFonts w:hint="eastAsia" w:ascii="仿宋" w:hAnsi="仿宋" w:eastAsia="仿宋" w:cs="仿宋"/>
          <w:color w:val="auto"/>
          <w:spacing w:val="-39"/>
          <w:sz w:val="23"/>
          <w:szCs w:val="23"/>
          <w:highlight w:val="none"/>
        </w:rPr>
        <w:t xml:space="preserve"> </w:t>
      </w:r>
      <w:r>
        <w:rPr>
          <w:rFonts w:hint="eastAsia" w:ascii="仿宋" w:hAnsi="仿宋" w:eastAsia="仿宋" w:cs="仿宋"/>
          <w:color w:val="auto"/>
          <w:spacing w:val="-7"/>
          <w:sz w:val="23"/>
          <w:szCs w:val="23"/>
          <w:highlight w:val="none"/>
        </w:rPr>
        <w:t>。</w:t>
      </w:r>
    </w:p>
    <w:p w14:paraId="3815A55A">
      <w:pPr>
        <w:spacing w:before="275" w:line="226" w:lineRule="auto"/>
        <w:ind w:left="486"/>
        <w:outlineLvl w:val="1"/>
        <w:rPr>
          <w:rFonts w:hint="eastAsia" w:ascii="仿宋" w:hAnsi="仿宋" w:eastAsia="仿宋" w:cs="仿宋"/>
          <w:color w:val="auto"/>
          <w:spacing w:val="3"/>
          <w:sz w:val="23"/>
          <w:szCs w:val="23"/>
          <w:highlight w:val="none"/>
        </w:rPr>
      </w:pPr>
    </w:p>
    <w:p w14:paraId="63351E9A">
      <w:pPr>
        <w:spacing w:before="275" w:line="226" w:lineRule="auto"/>
        <w:ind w:left="486"/>
        <w:outlineLvl w:val="1"/>
        <w:rPr>
          <w:rFonts w:hint="eastAsia" w:ascii="仿宋" w:hAnsi="仿宋" w:eastAsia="仿宋" w:cs="仿宋"/>
          <w:color w:val="auto"/>
          <w:spacing w:val="3"/>
          <w:sz w:val="23"/>
          <w:szCs w:val="23"/>
          <w:highlight w:val="none"/>
        </w:rPr>
      </w:pPr>
    </w:p>
    <w:p w14:paraId="625B6A6D">
      <w:pPr>
        <w:spacing w:before="275" w:line="226" w:lineRule="auto"/>
        <w:ind w:left="486"/>
        <w:outlineLvl w:val="1"/>
        <w:rPr>
          <w:rFonts w:hint="eastAsia" w:ascii="仿宋" w:hAnsi="仿宋" w:eastAsia="仿宋" w:cs="仿宋"/>
          <w:color w:val="auto"/>
          <w:spacing w:val="3"/>
          <w:sz w:val="23"/>
          <w:szCs w:val="23"/>
          <w:highlight w:val="none"/>
        </w:rPr>
      </w:pPr>
    </w:p>
    <w:p w14:paraId="1E9752F3">
      <w:pPr>
        <w:spacing w:before="275" w:line="226" w:lineRule="auto"/>
        <w:ind w:left="486"/>
        <w:outlineLvl w:val="1"/>
        <w:rPr>
          <w:rFonts w:hint="eastAsia" w:ascii="仿宋" w:hAnsi="仿宋" w:eastAsia="仿宋" w:cs="仿宋"/>
          <w:color w:val="auto"/>
          <w:spacing w:val="3"/>
          <w:sz w:val="23"/>
          <w:szCs w:val="23"/>
          <w:highlight w:val="none"/>
        </w:rPr>
      </w:pPr>
    </w:p>
    <w:p w14:paraId="29ED8071">
      <w:pPr>
        <w:spacing w:before="275" w:line="226" w:lineRule="auto"/>
        <w:ind w:left="486"/>
        <w:outlineLvl w:val="1"/>
        <w:rPr>
          <w:rFonts w:hint="eastAsia" w:ascii="仿宋" w:hAnsi="仿宋" w:eastAsia="仿宋" w:cs="仿宋"/>
          <w:color w:val="auto"/>
          <w:highlight w:val="none"/>
        </w:rPr>
      </w:pPr>
      <w:r>
        <w:rPr>
          <w:rFonts w:hint="eastAsia" w:ascii="仿宋" w:hAnsi="仿宋" w:eastAsia="仿宋" w:cs="仿宋"/>
          <w:color w:val="auto"/>
          <w:spacing w:val="3"/>
          <w:sz w:val="23"/>
          <w:szCs w:val="23"/>
          <w:highlight w:val="none"/>
        </w:rPr>
        <w:t>分项价格：</w:t>
      </w:r>
    </w:p>
    <w:p w14:paraId="01593C31">
      <w:pPr>
        <w:spacing w:before="13"/>
        <w:rPr>
          <w:rFonts w:hint="eastAsia" w:ascii="仿宋" w:hAnsi="仿宋" w:eastAsia="仿宋" w:cs="仿宋"/>
          <w:color w:val="auto"/>
          <w:highlight w:val="none"/>
        </w:rPr>
      </w:pPr>
    </w:p>
    <w:tbl>
      <w:tblPr>
        <w:tblStyle w:val="20"/>
        <w:tblW w:w="7158" w:type="dxa"/>
        <w:tblInd w:w="9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6"/>
        <w:gridCol w:w="3396"/>
        <w:gridCol w:w="2556"/>
      </w:tblGrid>
      <w:tr w14:paraId="03787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06" w:type="dxa"/>
            <w:vAlign w:val="top"/>
          </w:tcPr>
          <w:p w14:paraId="3F6CA884">
            <w:pPr>
              <w:pStyle w:val="21"/>
              <w:spacing w:before="261" w:line="229" w:lineRule="auto"/>
              <w:ind w:left="373"/>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序号</w:t>
            </w:r>
          </w:p>
        </w:tc>
        <w:tc>
          <w:tcPr>
            <w:tcW w:w="3396" w:type="dxa"/>
            <w:vAlign w:val="top"/>
          </w:tcPr>
          <w:p w14:paraId="3122B64D">
            <w:pPr>
              <w:pStyle w:val="21"/>
              <w:spacing w:before="262" w:line="228" w:lineRule="auto"/>
              <w:ind w:left="1338"/>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分项名称</w:t>
            </w:r>
          </w:p>
        </w:tc>
        <w:tc>
          <w:tcPr>
            <w:tcW w:w="2556" w:type="dxa"/>
            <w:vAlign w:val="top"/>
          </w:tcPr>
          <w:p w14:paraId="33DC071A">
            <w:pPr>
              <w:pStyle w:val="21"/>
              <w:spacing w:before="259" w:line="226" w:lineRule="auto"/>
              <w:ind w:left="820"/>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分项价格</w:t>
            </w:r>
          </w:p>
        </w:tc>
      </w:tr>
      <w:tr w14:paraId="00BE3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06" w:type="dxa"/>
            <w:vAlign w:val="top"/>
          </w:tcPr>
          <w:p w14:paraId="415370F3">
            <w:pPr>
              <w:rPr>
                <w:rFonts w:hint="eastAsia" w:ascii="仿宋" w:hAnsi="仿宋" w:eastAsia="仿宋" w:cs="仿宋"/>
                <w:color w:val="auto"/>
                <w:sz w:val="21"/>
                <w:highlight w:val="none"/>
              </w:rPr>
            </w:pPr>
          </w:p>
        </w:tc>
        <w:tc>
          <w:tcPr>
            <w:tcW w:w="3396" w:type="dxa"/>
            <w:vAlign w:val="top"/>
          </w:tcPr>
          <w:p w14:paraId="59ED468D">
            <w:pPr>
              <w:rPr>
                <w:rFonts w:hint="eastAsia" w:ascii="仿宋" w:hAnsi="仿宋" w:eastAsia="仿宋" w:cs="仿宋"/>
                <w:color w:val="auto"/>
                <w:sz w:val="21"/>
                <w:highlight w:val="none"/>
              </w:rPr>
            </w:pPr>
          </w:p>
        </w:tc>
        <w:tc>
          <w:tcPr>
            <w:tcW w:w="2556" w:type="dxa"/>
            <w:vAlign w:val="top"/>
          </w:tcPr>
          <w:p w14:paraId="235F371B">
            <w:pPr>
              <w:rPr>
                <w:rFonts w:hint="eastAsia" w:ascii="仿宋" w:hAnsi="仿宋" w:eastAsia="仿宋" w:cs="仿宋"/>
                <w:color w:val="auto"/>
                <w:sz w:val="21"/>
                <w:highlight w:val="none"/>
              </w:rPr>
            </w:pPr>
          </w:p>
        </w:tc>
      </w:tr>
      <w:tr w14:paraId="02660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06" w:type="dxa"/>
            <w:vAlign w:val="top"/>
          </w:tcPr>
          <w:p w14:paraId="7291A37F">
            <w:pPr>
              <w:rPr>
                <w:rFonts w:hint="eastAsia" w:ascii="仿宋" w:hAnsi="仿宋" w:eastAsia="仿宋" w:cs="仿宋"/>
                <w:color w:val="auto"/>
                <w:sz w:val="21"/>
                <w:highlight w:val="none"/>
              </w:rPr>
            </w:pPr>
          </w:p>
        </w:tc>
        <w:tc>
          <w:tcPr>
            <w:tcW w:w="3396" w:type="dxa"/>
            <w:vAlign w:val="top"/>
          </w:tcPr>
          <w:p w14:paraId="60E0F05A">
            <w:pPr>
              <w:rPr>
                <w:rFonts w:hint="eastAsia" w:ascii="仿宋" w:hAnsi="仿宋" w:eastAsia="仿宋" w:cs="仿宋"/>
                <w:color w:val="auto"/>
                <w:sz w:val="21"/>
                <w:highlight w:val="none"/>
              </w:rPr>
            </w:pPr>
          </w:p>
        </w:tc>
        <w:tc>
          <w:tcPr>
            <w:tcW w:w="2556" w:type="dxa"/>
            <w:vAlign w:val="top"/>
          </w:tcPr>
          <w:p w14:paraId="045227B0">
            <w:pPr>
              <w:rPr>
                <w:rFonts w:hint="eastAsia" w:ascii="仿宋" w:hAnsi="仿宋" w:eastAsia="仿宋" w:cs="仿宋"/>
                <w:color w:val="auto"/>
                <w:sz w:val="21"/>
                <w:highlight w:val="none"/>
              </w:rPr>
            </w:pPr>
          </w:p>
        </w:tc>
      </w:tr>
      <w:tr w14:paraId="3B855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06" w:type="dxa"/>
            <w:vAlign w:val="top"/>
          </w:tcPr>
          <w:p w14:paraId="0823CAAE">
            <w:pPr>
              <w:rPr>
                <w:rFonts w:hint="eastAsia" w:ascii="仿宋" w:hAnsi="仿宋" w:eastAsia="仿宋" w:cs="仿宋"/>
                <w:color w:val="auto"/>
                <w:sz w:val="21"/>
                <w:highlight w:val="none"/>
              </w:rPr>
            </w:pPr>
          </w:p>
        </w:tc>
        <w:tc>
          <w:tcPr>
            <w:tcW w:w="3396" w:type="dxa"/>
            <w:vAlign w:val="top"/>
          </w:tcPr>
          <w:p w14:paraId="09D2A742">
            <w:pPr>
              <w:rPr>
                <w:rFonts w:hint="eastAsia" w:ascii="仿宋" w:hAnsi="仿宋" w:eastAsia="仿宋" w:cs="仿宋"/>
                <w:color w:val="auto"/>
                <w:sz w:val="21"/>
                <w:highlight w:val="none"/>
              </w:rPr>
            </w:pPr>
          </w:p>
        </w:tc>
        <w:tc>
          <w:tcPr>
            <w:tcW w:w="2556" w:type="dxa"/>
            <w:vAlign w:val="top"/>
          </w:tcPr>
          <w:p w14:paraId="3625FAD1">
            <w:pPr>
              <w:rPr>
                <w:rFonts w:hint="eastAsia" w:ascii="仿宋" w:hAnsi="仿宋" w:eastAsia="仿宋" w:cs="仿宋"/>
                <w:color w:val="auto"/>
                <w:sz w:val="21"/>
                <w:highlight w:val="none"/>
              </w:rPr>
            </w:pPr>
          </w:p>
        </w:tc>
      </w:tr>
      <w:tr w14:paraId="1BDEF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06" w:type="dxa"/>
            <w:vAlign w:val="top"/>
          </w:tcPr>
          <w:p w14:paraId="7206B71C">
            <w:pPr>
              <w:rPr>
                <w:rFonts w:hint="eastAsia" w:ascii="仿宋" w:hAnsi="仿宋" w:eastAsia="仿宋" w:cs="仿宋"/>
                <w:color w:val="auto"/>
                <w:sz w:val="21"/>
                <w:highlight w:val="none"/>
              </w:rPr>
            </w:pPr>
          </w:p>
        </w:tc>
        <w:tc>
          <w:tcPr>
            <w:tcW w:w="3396" w:type="dxa"/>
            <w:vAlign w:val="top"/>
          </w:tcPr>
          <w:p w14:paraId="4A2DD6A1">
            <w:pPr>
              <w:rPr>
                <w:rFonts w:hint="eastAsia" w:ascii="仿宋" w:hAnsi="仿宋" w:eastAsia="仿宋" w:cs="仿宋"/>
                <w:color w:val="auto"/>
                <w:sz w:val="21"/>
                <w:highlight w:val="none"/>
              </w:rPr>
            </w:pPr>
          </w:p>
        </w:tc>
        <w:tc>
          <w:tcPr>
            <w:tcW w:w="2556" w:type="dxa"/>
            <w:vAlign w:val="top"/>
          </w:tcPr>
          <w:p w14:paraId="4F09C7B0">
            <w:pPr>
              <w:rPr>
                <w:rFonts w:hint="eastAsia" w:ascii="仿宋" w:hAnsi="仿宋" w:eastAsia="仿宋" w:cs="仿宋"/>
                <w:color w:val="auto"/>
                <w:sz w:val="21"/>
                <w:highlight w:val="none"/>
              </w:rPr>
            </w:pPr>
          </w:p>
        </w:tc>
      </w:tr>
      <w:tr w14:paraId="1B811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4602" w:type="dxa"/>
            <w:gridSpan w:val="2"/>
            <w:vAlign w:val="top"/>
          </w:tcPr>
          <w:p w14:paraId="0FF0450B">
            <w:pPr>
              <w:pStyle w:val="21"/>
              <w:spacing w:before="260" w:line="226" w:lineRule="auto"/>
              <w:ind w:left="2192"/>
              <w:outlineLvl w:val="1"/>
              <w:rPr>
                <w:rFonts w:hint="eastAsia" w:ascii="仿宋" w:hAnsi="仿宋" w:eastAsia="仿宋" w:cs="仿宋"/>
                <w:color w:val="auto"/>
                <w:highlight w:val="none"/>
              </w:rPr>
            </w:pPr>
            <w:r>
              <w:rPr>
                <w:rFonts w:hint="eastAsia" w:ascii="仿宋" w:hAnsi="仿宋" w:eastAsia="仿宋" w:cs="仿宋"/>
                <w:color w:val="auto"/>
                <w:spacing w:val="-2"/>
                <w:highlight w:val="none"/>
              </w:rPr>
              <w:t>总价</w:t>
            </w:r>
          </w:p>
        </w:tc>
        <w:tc>
          <w:tcPr>
            <w:tcW w:w="2556" w:type="dxa"/>
            <w:vAlign w:val="top"/>
          </w:tcPr>
          <w:p w14:paraId="34A6D367">
            <w:pPr>
              <w:rPr>
                <w:rFonts w:hint="eastAsia" w:ascii="仿宋" w:hAnsi="仿宋" w:eastAsia="仿宋" w:cs="仿宋"/>
                <w:color w:val="auto"/>
                <w:sz w:val="21"/>
                <w:highlight w:val="none"/>
              </w:rPr>
            </w:pPr>
          </w:p>
        </w:tc>
      </w:tr>
    </w:tbl>
    <w:p w14:paraId="2C03D024">
      <w:pPr>
        <w:spacing w:before="227" w:line="166" w:lineRule="auto"/>
        <w:ind w:left="497"/>
        <w:outlineLvl w:val="1"/>
        <w:rPr>
          <w:rFonts w:hint="eastAsia" w:ascii="仿宋" w:hAnsi="仿宋" w:eastAsia="仿宋" w:cs="仿宋"/>
          <w:color w:val="auto"/>
          <w:sz w:val="25"/>
          <w:szCs w:val="25"/>
          <w:highlight w:val="none"/>
        </w:rPr>
      </w:pPr>
      <w:r>
        <w:rPr>
          <w:rFonts w:hint="eastAsia" w:ascii="仿宋" w:hAnsi="仿宋" w:eastAsia="仿宋" w:cs="仿宋"/>
          <w:color w:val="auto"/>
          <w:spacing w:val="2"/>
          <w:sz w:val="25"/>
          <w:szCs w:val="25"/>
          <w:highlight w:val="none"/>
        </w:rPr>
        <w:t>1.4付款方式和发票开具方式</w:t>
      </w:r>
    </w:p>
    <w:p w14:paraId="55736939">
      <w:pPr>
        <w:spacing w:before="290" w:line="227" w:lineRule="auto"/>
        <w:ind w:left="514"/>
        <w:outlineLvl w:val="1"/>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1.4.1付款方式</w:t>
      </w:r>
      <w:r>
        <w:rPr>
          <w:rFonts w:hint="eastAsia" w:ascii="仿宋" w:hAnsi="仿宋" w:eastAsia="仿宋" w:cs="仿宋"/>
          <w:color w:val="auto"/>
          <w:spacing w:val="6"/>
          <w:sz w:val="23"/>
          <w:szCs w:val="23"/>
          <w:highlight w:val="none"/>
        </w:rPr>
        <w:t>：</w:t>
      </w:r>
      <w:r>
        <w:rPr>
          <w:rFonts w:hint="eastAsia" w:ascii="仿宋" w:hAnsi="仿宋" w:eastAsia="仿宋" w:cs="仿宋"/>
          <w:color w:val="auto"/>
          <w:sz w:val="23"/>
          <w:szCs w:val="23"/>
          <w:highlight w:val="none"/>
          <w:u w:val="single" w:color="auto"/>
        </w:rPr>
        <w:t xml:space="preserve">                                                  </w:t>
      </w:r>
      <w:r>
        <w:rPr>
          <w:rFonts w:hint="eastAsia" w:ascii="仿宋" w:hAnsi="仿宋" w:eastAsia="仿宋" w:cs="仿宋"/>
          <w:color w:val="auto"/>
          <w:spacing w:val="6"/>
          <w:sz w:val="23"/>
          <w:szCs w:val="23"/>
          <w:highlight w:val="none"/>
        </w:rPr>
        <w:t>；</w:t>
      </w:r>
    </w:p>
    <w:p w14:paraId="5755B7F8">
      <w:pPr>
        <w:spacing w:before="274" w:line="227" w:lineRule="auto"/>
        <w:ind w:left="51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1.4.2 发票开具方式：</w:t>
      </w:r>
      <w:r>
        <w:rPr>
          <w:rFonts w:hint="eastAsia" w:ascii="仿宋" w:hAnsi="仿宋" w:eastAsia="仿宋" w:cs="仿宋"/>
          <w:color w:val="auto"/>
          <w:spacing w:val="3"/>
          <w:sz w:val="23"/>
          <w:szCs w:val="23"/>
          <w:highlight w:val="none"/>
          <w:u w:val="single" w:color="auto"/>
        </w:rPr>
        <w:t xml:space="preserve">                  </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2"/>
          <w:sz w:val="23"/>
          <w:szCs w:val="23"/>
          <w:highlight w:val="none"/>
        </w:rPr>
        <w:t>。</w:t>
      </w:r>
    </w:p>
    <w:p w14:paraId="7DF668EF">
      <w:pPr>
        <w:pStyle w:val="4"/>
        <w:spacing w:before="252" w:line="171" w:lineRule="auto"/>
        <w:ind w:left="497"/>
        <w:outlineLvl w:val="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1.5</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6"/>
          <w:sz w:val="24"/>
          <w:szCs w:val="24"/>
          <w:highlight w:val="none"/>
        </w:rPr>
        <w:t>履行期限、地点和方式</w:t>
      </w:r>
    </w:p>
    <w:p w14:paraId="3F3D288E">
      <w:pPr>
        <w:spacing w:before="292" w:line="228" w:lineRule="auto"/>
        <w:ind w:left="51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1.5.1</w:t>
      </w:r>
      <w:r>
        <w:rPr>
          <w:rFonts w:hint="eastAsia" w:ascii="仿宋" w:hAnsi="仿宋" w:eastAsia="仿宋" w:cs="仿宋"/>
          <w:color w:val="auto"/>
          <w:spacing w:val="28"/>
          <w:sz w:val="23"/>
          <w:szCs w:val="23"/>
          <w:highlight w:val="none"/>
        </w:rPr>
        <w:t xml:space="preserve"> </w:t>
      </w:r>
      <w:r>
        <w:rPr>
          <w:rFonts w:hint="eastAsia" w:ascii="仿宋" w:hAnsi="仿宋" w:eastAsia="仿宋" w:cs="仿宋"/>
          <w:color w:val="auto"/>
          <w:spacing w:val="-2"/>
          <w:sz w:val="23"/>
          <w:szCs w:val="23"/>
          <w:highlight w:val="none"/>
        </w:rPr>
        <w:t>履行期限</w:t>
      </w:r>
      <w:r>
        <w:rPr>
          <w:rFonts w:hint="eastAsia" w:ascii="仿宋" w:hAnsi="仿宋" w:eastAsia="仿宋" w:cs="仿宋"/>
          <w:color w:val="auto"/>
          <w:spacing w:val="5"/>
          <w:sz w:val="23"/>
          <w:szCs w:val="23"/>
          <w:highlight w:val="none"/>
        </w:rPr>
        <w:t>：</w:t>
      </w:r>
      <w:r>
        <w:rPr>
          <w:rFonts w:hint="eastAsia" w:ascii="仿宋" w:hAnsi="仿宋" w:eastAsia="仿宋" w:cs="仿宋"/>
          <w:color w:val="auto"/>
          <w:sz w:val="23"/>
          <w:szCs w:val="23"/>
          <w:highlight w:val="none"/>
          <w:u w:val="single" w:color="auto"/>
        </w:rPr>
        <w:t xml:space="preserve">                                                  </w:t>
      </w:r>
      <w:r>
        <w:rPr>
          <w:rFonts w:hint="eastAsia" w:ascii="仿宋" w:hAnsi="仿宋" w:eastAsia="仿宋" w:cs="仿宋"/>
          <w:color w:val="auto"/>
          <w:spacing w:val="5"/>
          <w:sz w:val="23"/>
          <w:szCs w:val="23"/>
          <w:highlight w:val="none"/>
        </w:rPr>
        <w:t>；</w:t>
      </w:r>
    </w:p>
    <w:p w14:paraId="39D24D59">
      <w:pPr>
        <w:spacing w:before="275" w:line="228" w:lineRule="auto"/>
        <w:ind w:left="51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1.5.2</w:t>
      </w:r>
      <w:r>
        <w:rPr>
          <w:rFonts w:hint="eastAsia" w:ascii="仿宋" w:hAnsi="仿宋" w:eastAsia="仿宋" w:cs="仿宋"/>
          <w:color w:val="auto"/>
          <w:spacing w:val="28"/>
          <w:sz w:val="23"/>
          <w:szCs w:val="23"/>
          <w:highlight w:val="none"/>
        </w:rPr>
        <w:t xml:space="preserve"> </w:t>
      </w:r>
      <w:r>
        <w:rPr>
          <w:rFonts w:hint="eastAsia" w:ascii="仿宋" w:hAnsi="仿宋" w:eastAsia="仿宋" w:cs="仿宋"/>
          <w:color w:val="auto"/>
          <w:spacing w:val="-2"/>
          <w:sz w:val="23"/>
          <w:szCs w:val="23"/>
          <w:highlight w:val="none"/>
        </w:rPr>
        <w:t>履行地点</w:t>
      </w:r>
      <w:r>
        <w:rPr>
          <w:rFonts w:hint="eastAsia" w:ascii="仿宋" w:hAnsi="仿宋" w:eastAsia="仿宋" w:cs="仿宋"/>
          <w:color w:val="auto"/>
          <w:spacing w:val="5"/>
          <w:sz w:val="23"/>
          <w:szCs w:val="23"/>
          <w:highlight w:val="none"/>
        </w:rPr>
        <w:t>：</w:t>
      </w:r>
      <w:r>
        <w:rPr>
          <w:rFonts w:hint="eastAsia" w:ascii="仿宋" w:hAnsi="仿宋" w:eastAsia="仿宋" w:cs="仿宋"/>
          <w:color w:val="auto"/>
          <w:sz w:val="23"/>
          <w:szCs w:val="23"/>
          <w:highlight w:val="none"/>
          <w:u w:val="single" w:color="auto"/>
        </w:rPr>
        <w:t xml:space="preserve">                                                  </w:t>
      </w:r>
      <w:r>
        <w:rPr>
          <w:rFonts w:hint="eastAsia" w:ascii="仿宋" w:hAnsi="仿宋" w:eastAsia="仿宋" w:cs="仿宋"/>
          <w:color w:val="auto"/>
          <w:spacing w:val="5"/>
          <w:sz w:val="23"/>
          <w:szCs w:val="23"/>
          <w:highlight w:val="none"/>
        </w:rPr>
        <w:t>；</w:t>
      </w:r>
    </w:p>
    <w:p w14:paraId="4C6CC4B1">
      <w:pPr>
        <w:spacing w:before="275" w:line="228" w:lineRule="auto"/>
        <w:ind w:left="51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1.5.3</w:t>
      </w:r>
      <w:r>
        <w:rPr>
          <w:rFonts w:hint="eastAsia" w:ascii="仿宋" w:hAnsi="仿宋" w:eastAsia="仿宋" w:cs="仿宋"/>
          <w:color w:val="auto"/>
          <w:spacing w:val="29"/>
          <w:sz w:val="23"/>
          <w:szCs w:val="23"/>
          <w:highlight w:val="none"/>
        </w:rPr>
        <w:t xml:space="preserve"> </w:t>
      </w:r>
      <w:r>
        <w:rPr>
          <w:rFonts w:hint="eastAsia" w:ascii="仿宋" w:hAnsi="仿宋" w:eastAsia="仿宋" w:cs="仿宋"/>
          <w:color w:val="auto"/>
          <w:spacing w:val="-5"/>
          <w:sz w:val="23"/>
          <w:szCs w:val="23"/>
          <w:highlight w:val="none"/>
        </w:rPr>
        <w:t>履行方式：</w:t>
      </w:r>
      <w:r>
        <w:rPr>
          <w:rFonts w:hint="eastAsia" w:ascii="仿宋" w:hAnsi="仿宋" w:eastAsia="仿宋" w:cs="仿宋"/>
          <w:color w:val="auto"/>
          <w:spacing w:val="-25"/>
          <w:sz w:val="23"/>
          <w:szCs w:val="23"/>
          <w:highlight w:val="none"/>
        </w:rPr>
        <w:t xml:space="preserve"> </w:t>
      </w:r>
      <w:r>
        <w:rPr>
          <w:rFonts w:hint="eastAsia" w:ascii="仿宋" w:hAnsi="仿宋" w:eastAsia="仿宋" w:cs="仿宋"/>
          <w:color w:val="auto"/>
          <w:spacing w:val="-5"/>
          <w:sz w:val="23"/>
          <w:szCs w:val="23"/>
          <w:highlight w:val="none"/>
          <w:u w:val="single" w:color="auto"/>
        </w:rPr>
        <w:t xml:space="preserve">                                                    </w:t>
      </w:r>
      <w:r>
        <w:rPr>
          <w:rFonts w:hint="eastAsia" w:ascii="仿宋" w:hAnsi="仿宋" w:eastAsia="仿宋" w:cs="仿宋"/>
          <w:color w:val="auto"/>
          <w:spacing w:val="-5"/>
          <w:sz w:val="23"/>
          <w:szCs w:val="23"/>
          <w:highlight w:val="none"/>
        </w:rPr>
        <w:t>。</w:t>
      </w:r>
    </w:p>
    <w:p w14:paraId="2444A8BA">
      <w:pPr>
        <w:pStyle w:val="4"/>
        <w:spacing w:before="247" w:line="172" w:lineRule="auto"/>
        <w:ind w:left="497"/>
        <w:outlineLvl w:val="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1.6</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6"/>
          <w:sz w:val="24"/>
          <w:szCs w:val="24"/>
          <w:highlight w:val="none"/>
        </w:rPr>
        <w:t>违约责任</w:t>
      </w:r>
    </w:p>
    <w:p w14:paraId="1BAE31AB">
      <w:pPr>
        <w:spacing w:before="289"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1.6.1 除不可抗力外，如果乙方没有按</w:t>
      </w:r>
      <w:r>
        <w:rPr>
          <w:rFonts w:hint="eastAsia" w:ascii="仿宋" w:hAnsi="仿宋" w:eastAsia="仿宋" w:cs="仿宋"/>
          <w:color w:val="auto"/>
          <w:spacing w:val="6"/>
          <w:sz w:val="23"/>
          <w:szCs w:val="23"/>
          <w:highlight w:val="none"/>
        </w:rPr>
        <w:t>照本合同约定的期限、地点和方式履行，那</w:t>
      </w:r>
    </w:p>
    <w:p w14:paraId="04F6903E">
      <w:pPr>
        <w:spacing w:before="302" w:line="439" w:lineRule="auto"/>
        <w:ind w:left="36" w:right="90" w:hanging="29"/>
        <w:jc w:val="both"/>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么甲方可要求乙方支付违约金，违约金按每迟延履行一 日的应提供而未提供服</w:t>
      </w:r>
      <w:r>
        <w:rPr>
          <w:rFonts w:hint="eastAsia" w:ascii="仿宋" w:hAnsi="仿宋" w:eastAsia="仿宋" w:cs="仿宋"/>
          <w:color w:val="auto"/>
          <w:spacing w:val="5"/>
          <w:sz w:val="23"/>
          <w:szCs w:val="23"/>
          <w:highlight w:val="none"/>
        </w:rPr>
        <w:t>务价格</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7"/>
          <w:sz w:val="23"/>
          <w:szCs w:val="23"/>
          <w:highlight w:val="none"/>
        </w:rPr>
        <w:t>的</w:t>
      </w:r>
      <w:r>
        <w:rPr>
          <w:rFonts w:hint="eastAsia" w:ascii="仿宋" w:hAnsi="仿宋" w:eastAsia="仿宋" w:cs="仿宋"/>
          <w:color w:val="auto"/>
          <w:spacing w:val="7"/>
          <w:sz w:val="23"/>
          <w:szCs w:val="23"/>
          <w:highlight w:val="none"/>
          <w:u w:val="single" w:color="auto"/>
        </w:rPr>
        <w:t xml:space="preserve">    </w:t>
      </w:r>
      <w:r>
        <w:rPr>
          <w:rFonts w:hint="eastAsia" w:ascii="仿宋" w:hAnsi="仿宋" w:eastAsia="仿宋" w:cs="仿宋"/>
          <w:color w:val="auto"/>
          <w:spacing w:val="-103"/>
          <w:sz w:val="23"/>
          <w:szCs w:val="23"/>
          <w:highlight w:val="none"/>
        </w:rPr>
        <w:t xml:space="preserve"> </w:t>
      </w:r>
      <w:r>
        <w:rPr>
          <w:rFonts w:hint="eastAsia" w:ascii="仿宋" w:hAnsi="仿宋" w:eastAsia="仿宋" w:cs="仿宋"/>
          <w:color w:val="auto"/>
          <w:spacing w:val="7"/>
          <w:sz w:val="23"/>
          <w:szCs w:val="23"/>
          <w:highlight w:val="none"/>
        </w:rPr>
        <w:t>%计算，最高限额为本合同总价的</w:t>
      </w:r>
      <w:r>
        <w:rPr>
          <w:rFonts w:hint="eastAsia" w:ascii="仿宋" w:hAnsi="仿宋" w:eastAsia="仿宋" w:cs="仿宋"/>
          <w:color w:val="auto"/>
          <w:spacing w:val="3"/>
          <w:sz w:val="23"/>
          <w:szCs w:val="23"/>
          <w:highlight w:val="none"/>
          <w:u w:val="single" w:color="auto"/>
        </w:rPr>
        <w:t xml:space="preserve">     </w:t>
      </w:r>
      <w:r>
        <w:rPr>
          <w:rFonts w:hint="eastAsia" w:ascii="仿宋" w:hAnsi="仿宋" w:eastAsia="仿宋" w:cs="仿宋"/>
          <w:color w:val="auto"/>
          <w:spacing w:val="-104"/>
          <w:sz w:val="23"/>
          <w:szCs w:val="23"/>
          <w:highlight w:val="none"/>
        </w:rPr>
        <w:t xml:space="preserve"> </w:t>
      </w:r>
      <w:r>
        <w:rPr>
          <w:rFonts w:hint="eastAsia" w:ascii="仿宋" w:hAnsi="仿宋" w:eastAsia="仿宋" w:cs="仿宋"/>
          <w:color w:val="auto"/>
          <w:spacing w:val="7"/>
          <w:sz w:val="23"/>
          <w:szCs w:val="23"/>
          <w:highlight w:val="none"/>
        </w:rPr>
        <w:t>%；迟延履行的违约金计算数额达到前述</w:t>
      </w:r>
    </w:p>
    <w:p w14:paraId="7F767BBB">
      <w:pPr>
        <w:spacing w:before="1" w:line="226" w:lineRule="auto"/>
        <w:ind w:left="24"/>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最高限额之日起，甲方有权在要求乙方支付违约金的同时，书面通知乙方解除本合同；</w:t>
      </w:r>
    </w:p>
    <w:p w14:paraId="18D75547">
      <w:pPr>
        <w:spacing w:before="276"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1.6.2 除不可抗力外，如果甲方没有按</w:t>
      </w:r>
      <w:r>
        <w:rPr>
          <w:rFonts w:hint="eastAsia" w:ascii="仿宋" w:hAnsi="仿宋" w:eastAsia="仿宋" w:cs="仿宋"/>
          <w:color w:val="auto"/>
          <w:spacing w:val="6"/>
          <w:sz w:val="23"/>
          <w:szCs w:val="23"/>
          <w:highlight w:val="none"/>
        </w:rPr>
        <w:t>照本合同约定的付款方式付款，那么乙方可</w:t>
      </w:r>
    </w:p>
    <w:p w14:paraId="2E05D6C7">
      <w:pPr>
        <w:spacing w:before="299" w:line="440" w:lineRule="auto"/>
        <w:jc w:val="both"/>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要求甲方支付违约金，违约金按每迟延付款一</w:t>
      </w:r>
      <w:r>
        <w:rPr>
          <w:rFonts w:hint="eastAsia" w:ascii="仿宋" w:hAnsi="仿宋" w:eastAsia="仿宋" w:cs="仿宋"/>
          <w:color w:val="auto"/>
          <w:spacing w:val="7"/>
          <w:sz w:val="23"/>
          <w:szCs w:val="23"/>
          <w:highlight w:val="none"/>
        </w:rPr>
        <w:t xml:space="preserve"> 日的应付而未付款的</w:t>
      </w:r>
      <w:r>
        <w:rPr>
          <w:rFonts w:hint="eastAsia" w:ascii="仿宋" w:hAnsi="仿宋" w:eastAsia="仿宋" w:cs="仿宋"/>
          <w:color w:val="auto"/>
          <w:spacing w:val="7"/>
          <w:sz w:val="23"/>
          <w:szCs w:val="23"/>
          <w:highlight w:val="none"/>
          <w:u w:val="single" w:color="auto"/>
        </w:rPr>
        <w:t xml:space="preserve">    </w:t>
      </w:r>
      <w:r>
        <w:rPr>
          <w:rFonts w:hint="eastAsia" w:ascii="仿宋" w:hAnsi="仿宋" w:eastAsia="仿宋" w:cs="仿宋"/>
          <w:color w:val="auto"/>
          <w:spacing w:val="-107"/>
          <w:sz w:val="23"/>
          <w:szCs w:val="23"/>
          <w:highlight w:val="none"/>
        </w:rPr>
        <w:t xml:space="preserve"> </w:t>
      </w:r>
      <w:r>
        <w:rPr>
          <w:rFonts w:hint="eastAsia" w:ascii="仿宋" w:hAnsi="仿宋" w:eastAsia="仿宋" w:cs="仿宋"/>
          <w:color w:val="auto"/>
          <w:spacing w:val="7"/>
          <w:sz w:val="23"/>
          <w:szCs w:val="23"/>
          <w:highlight w:val="none"/>
        </w:rPr>
        <w:t>%计算，最高限</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5"/>
          <w:sz w:val="23"/>
          <w:szCs w:val="23"/>
          <w:highlight w:val="none"/>
        </w:rPr>
        <w:t>额为本合同总价的</w:t>
      </w:r>
      <w:r>
        <w:rPr>
          <w:rFonts w:hint="eastAsia" w:ascii="仿宋" w:hAnsi="仿宋" w:eastAsia="仿宋" w:cs="仿宋"/>
          <w:color w:val="auto"/>
          <w:spacing w:val="5"/>
          <w:sz w:val="23"/>
          <w:szCs w:val="23"/>
          <w:highlight w:val="none"/>
          <w:u w:val="single" w:color="auto"/>
        </w:rPr>
        <w:t xml:space="preserve">     </w:t>
      </w:r>
      <w:r>
        <w:rPr>
          <w:rFonts w:hint="eastAsia" w:ascii="仿宋" w:hAnsi="仿宋" w:eastAsia="仿宋" w:cs="仿宋"/>
          <w:color w:val="auto"/>
          <w:spacing w:val="-106"/>
          <w:sz w:val="23"/>
          <w:szCs w:val="23"/>
          <w:highlight w:val="none"/>
        </w:rPr>
        <w:t xml:space="preserve"> </w:t>
      </w:r>
      <w:r>
        <w:rPr>
          <w:rFonts w:hint="eastAsia" w:ascii="仿宋" w:hAnsi="仿宋" w:eastAsia="仿宋" w:cs="仿宋"/>
          <w:color w:val="auto"/>
          <w:spacing w:val="5"/>
          <w:sz w:val="23"/>
          <w:szCs w:val="23"/>
          <w:highlight w:val="none"/>
        </w:rPr>
        <w:t>%；迟延付款的违约</w:t>
      </w:r>
      <w:r>
        <w:rPr>
          <w:rFonts w:hint="eastAsia" w:ascii="仿宋" w:hAnsi="仿宋" w:eastAsia="仿宋" w:cs="仿宋"/>
          <w:color w:val="auto"/>
          <w:spacing w:val="4"/>
          <w:sz w:val="23"/>
          <w:szCs w:val="23"/>
          <w:highlight w:val="none"/>
        </w:rPr>
        <w:t>金计算数额达到前述最高限额之日起， 乙方</w:t>
      </w:r>
    </w:p>
    <w:p w14:paraId="02E9EE5E">
      <w:pPr>
        <w:spacing w:before="1" w:line="226" w:lineRule="auto"/>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有权在要求甲方支付违约金的同时， 书面通知甲方解除本合同；</w:t>
      </w:r>
    </w:p>
    <w:p w14:paraId="24A0DAB0">
      <w:pPr>
        <w:spacing w:before="274" w:line="562" w:lineRule="exact"/>
        <w:jc w:val="center"/>
        <w:rPr>
          <w:rFonts w:hint="eastAsia" w:ascii="仿宋" w:hAnsi="仿宋" w:eastAsia="仿宋" w:cs="仿宋"/>
          <w:color w:val="auto"/>
          <w:sz w:val="23"/>
          <w:szCs w:val="23"/>
          <w:highlight w:val="none"/>
        </w:rPr>
      </w:pPr>
      <w:r>
        <w:rPr>
          <w:rFonts w:hint="eastAsia" w:ascii="仿宋" w:hAnsi="仿宋" w:eastAsia="仿宋" w:cs="仿宋"/>
          <w:color w:val="auto"/>
          <w:spacing w:val="7"/>
          <w:position w:val="25"/>
          <w:sz w:val="23"/>
          <w:szCs w:val="23"/>
          <w:highlight w:val="none"/>
        </w:rPr>
        <w:t>1.6.3 除不可抗力外，任何一方未能履</w:t>
      </w:r>
      <w:r>
        <w:rPr>
          <w:rFonts w:hint="eastAsia" w:ascii="仿宋" w:hAnsi="仿宋" w:eastAsia="仿宋" w:cs="仿宋"/>
          <w:color w:val="auto"/>
          <w:spacing w:val="6"/>
          <w:position w:val="25"/>
          <w:sz w:val="23"/>
          <w:szCs w:val="23"/>
          <w:highlight w:val="none"/>
        </w:rPr>
        <w:t>行本合同约定的其他主要义务，经催告后在</w:t>
      </w:r>
    </w:p>
    <w:p w14:paraId="2646C7E8">
      <w:pPr>
        <w:spacing w:line="227" w:lineRule="auto"/>
        <w:jc w:val="right"/>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合理期限内仍未履行的， 或者任何一方有其他违约行为致使不能实现合同目的的， 或者</w:t>
      </w:r>
    </w:p>
    <w:p w14:paraId="618BBF45">
      <w:pPr>
        <w:spacing w:line="227" w:lineRule="auto"/>
        <w:rPr>
          <w:rFonts w:hint="eastAsia" w:ascii="仿宋" w:hAnsi="仿宋" w:eastAsia="仿宋" w:cs="仿宋"/>
          <w:color w:val="auto"/>
          <w:sz w:val="23"/>
          <w:szCs w:val="23"/>
          <w:highlight w:val="none"/>
        </w:rPr>
        <w:sectPr>
          <w:headerReference r:id="rId18" w:type="default"/>
          <w:footerReference r:id="rId19" w:type="default"/>
          <w:pgSz w:w="11905" w:h="16838"/>
          <w:pgMar w:top="1020" w:right="1134" w:bottom="1020" w:left="1134" w:header="0" w:footer="573" w:gutter="0"/>
          <w:pgNumType w:fmt="decimal"/>
          <w:cols w:space="0" w:num="1"/>
          <w:rtlGutter w:val="0"/>
          <w:docGrid w:linePitch="0" w:charSpace="0"/>
        </w:sectPr>
      </w:pPr>
    </w:p>
    <w:p w14:paraId="76FB9DC8">
      <w:pPr>
        <w:pStyle w:val="4"/>
        <w:spacing w:line="242" w:lineRule="auto"/>
        <w:rPr>
          <w:rFonts w:hint="eastAsia" w:ascii="仿宋" w:hAnsi="仿宋" w:eastAsia="仿宋" w:cs="仿宋"/>
          <w:color w:val="auto"/>
          <w:highlight w:val="none"/>
        </w:rPr>
      </w:pPr>
    </w:p>
    <w:p w14:paraId="51761C1B">
      <w:pPr>
        <w:spacing w:before="75" w:line="443" w:lineRule="auto"/>
        <w:jc w:val="both"/>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任何一方有腐败行为（即：提供或给予或接受或索取任何财物或其他好处或者采取其他</w:t>
      </w:r>
      <w:r>
        <w:rPr>
          <w:rFonts w:hint="eastAsia" w:ascii="仿宋" w:hAnsi="仿宋" w:eastAsia="仿宋" w:cs="仿宋"/>
          <w:color w:val="auto"/>
          <w:spacing w:val="16"/>
          <w:sz w:val="23"/>
          <w:szCs w:val="23"/>
          <w:highlight w:val="none"/>
        </w:rPr>
        <w:t xml:space="preserve"> </w:t>
      </w:r>
      <w:r>
        <w:rPr>
          <w:rFonts w:hint="eastAsia" w:ascii="仿宋" w:hAnsi="仿宋" w:eastAsia="仿宋" w:cs="仿宋"/>
          <w:color w:val="auto"/>
          <w:spacing w:val="8"/>
          <w:sz w:val="23"/>
          <w:szCs w:val="23"/>
          <w:highlight w:val="none"/>
        </w:rPr>
        <w:t>不正当手段来影响对方当事人在合同签订、履行过程中的行为）或者欺</w:t>
      </w:r>
      <w:r>
        <w:rPr>
          <w:rFonts w:hint="eastAsia" w:ascii="仿宋" w:hAnsi="仿宋" w:eastAsia="仿宋" w:cs="仿宋"/>
          <w:color w:val="auto"/>
          <w:spacing w:val="7"/>
          <w:sz w:val="23"/>
          <w:szCs w:val="23"/>
          <w:highlight w:val="none"/>
        </w:rPr>
        <w:t>诈行为（即：以</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6"/>
          <w:sz w:val="23"/>
          <w:szCs w:val="23"/>
          <w:highlight w:val="none"/>
        </w:rPr>
        <w:t>谎报事实或隐瞒真相的方法来影响对方当事人在合同签订、履行过程中的行为）的</w:t>
      </w:r>
      <w:r>
        <w:rPr>
          <w:rFonts w:hint="eastAsia" w:ascii="仿宋" w:hAnsi="仿宋" w:eastAsia="仿宋" w:cs="仿宋"/>
          <w:color w:val="auto"/>
          <w:spacing w:val="5"/>
          <w:sz w:val="23"/>
          <w:szCs w:val="23"/>
          <w:highlight w:val="none"/>
        </w:rPr>
        <w:t>，</w:t>
      </w:r>
      <w:r>
        <w:rPr>
          <w:rFonts w:hint="eastAsia" w:ascii="仿宋" w:hAnsi="仿宋" w:eastAsia="仿宋" w:cs="仿宋"/>
          <w:color w:val="auto"/>
          <w:spacing w:val="-27"/>
          <w:sz w:val="23"/>
          <w:szCs w:val="23"/>
          <w:highlight w:val="none"/>
        </w:rPr>
        <w:t xml:space="preserve"> </w:t>
      </w:r>
      <w:r>
        <w:rPr>
          <w:rFonts w:hint="eastAsia" w:ascii="仿宋" w:hAnsi="仿宋" w:eastAsia="仿宋" w:cs="仿宋"/>
          <w:color w:val="auto"/>
          <w:spacing w:val="5"/>
          <w:sz w:val="23"/>
          <w:szCs w:val="23"/>
          <w:highlight w:val="none"/>
        </w:rPr>
        <w:t>对</w:t>
      </w:r>
      <w:r>
        <w:rPr>
          <w:rFonts w:hint="eastAsia" w:ascii="仿宋" w:hAnsi="仿宋" w:eastAsia="仿宋" w:cs="仿宋"/>
          <w:color w:val="auto"/>
          <w:spacing w:val="8"/>
          <w:sz w:val="23"/>
          <w:szCs w:val="23"/>
          <w:highlight w:val="none"/>
        </w:rPr>
        <w:t>方当事人可以书面通知违约方解除本合同；</w:t>
      </w:r>
    </w:p>
    <w:p w14:paraId="089C4083">
      <w:pPr>
        <w:spacing w:before="277"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1.6.4 任何一方按照前述约定要求违约</w:t>
      </w:r>
      <w:r>
        <w:rPr>
          <w:rFonts w:hint="eastAsia" w:ascii="仿宋" w:hAnsi="仿宋" w:eastAsia="仿宋" w:cs="仿宋"/>
          <w:color w:val="auto"/>
          <w:spacing w:val="6"/>
          <w:sz w:val="23"/>
          <w:szCs w:val="23"/>
          <w:highlight w:val="none"/>
        </w:rPr>
        <w:t>方支付违约金的同时，仍有权要求违约方继</w:t>
      </w:r>
    </w:p>
    <w:p w14:paraId="27F6B4AC">
      <w:pPr>
        <w:spacing w:before="295" w:line="443" w:lineRule="auto"/>
        <w:ind w:left="6" w:right="2"/>
        <w:jc w:val="both"/>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续履行合同、采取补救措施， 并有权按照己方实际损失情况要求违约方赔偿损失； 任何</w:t>
      </w:r>
      <w:r>
        <w:rPr>
          <w:rFonts w:hint="eastAsia" w:ascii="仿宋" w:hAnsi="仿宋" w:eastAsia="仿宋" w:cs="仿宋"/>
          <w:color w:val="auto"/>
          <w:spacing w:val="1"/>
          <w:sz w:val="23"/>
          <w:szCs w:val="23"/>
          <w:highlight w:val="none"/>
        </w:rPr>
        <w:t xml:space="preserve"> </w:t>
      </w:r>
      <w:r>
        <w:rPr>
          <w:rFonts w:hint="eastAsia" w:ascii="仿宋" w:hAnsi="仿宋" w:eastAsia="仿宋" w:cs="仿宋"/>
          <w:color w:val="auto"/>
          <w:spacing w:val="8"/>
          <w:sz w:val="23"/>
          <w:szCs w:val="23"/>
          <w:highlight w:val="none"/>
        </w:rPr>
        <w:t>一方按照前述约定要求解除本合同的同时，仍有权要求违约方支付违约金和按照己方实</w:t>
      </w:r>
      <w:r>
        <w:rPr>
          <w:rFonts w:hint="eastAsia" w:ascii="仿宋" w:hAnsi="仿宋" w:eastAsia="仿宋" w:cs="仿宋"/>
          <w:color w:val="auto"/>
          <w:spacing w:val="6"/>
          <w:sz w:val="23"/>
          <w:szCs w:val="23"/>
          <w:highlight w:val="none"/>
        </w:rPr>
        <w:t xml:space="preserve"> </w:t>
      </w:r>
      <w:r>
        <w:rPr>
          <w:rFonts w:hint="eastAsia" w:ascii="仿宋" w:hAnsi="仿宋" w:eastAsia="仿宋" w:cs="仿宋"/>
          <w:color w:val="auto"/>
          <w:spacing w:val="8"/>
          <w:sz w:val="23"/>
          <w:szCs w:val="23"/>
          <w:highlight w:val="none"/>
        </w:rPr>
        <w:t>际损失情况要求违约方赔偿损失；且守约方行使的任何权</w:t>
      </w:r>
      <w:r>
        <w:rPr>
          <w:rFonts w:hint="eastAsia" w:ascii="仿宋" w:hAnsi="仿宋" w:eastAsia="仿宋" w:cs="仿宋"/>
          <w:color w:val="auto"/>
          <w:spacing w:val="7"/>
          <w:sz w:val="23"/>
          <w:szCs w:val="23"/>
          <w:highlight w:val="none"/>
        </w:rPr>
        <w:t>利救济方式均不视为其放弃了</w:t>
      </w:r>
    </w:p>
    <w:p w14:paraId="79080791">
      <w:pPr>
        <w:spacing w:line="227" w:lineRule="auto"/>
        <w:ind w:left="4"/>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其他法定或者约定的权利救济方式；</w:t>
      </w:r>
    </w:p>
    <w:p w14:paraId="3E56B2C2">
      <w:pPr>
        <w:spacing w:before="273"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1.6.5 除前述约定外，除不可抗力外，</w:t>
      </w:r>
      <w:r>
        <w:rPr>
          <w:rFonts w:hint="eastAsia" w:ascii="仿宋" w:hAnsi="仿宋" w:eastAsia="仿宋" w:cs="仿宋"/>
          <w:color w:val="auto"/>
          <w:spacing w:val="6"/>
          <w:sz w:val="23"/>
          <w:szCs w:val="23"/>
          <w:highlight w:val="none"/>
        </w:rPr>
        <w:t>任何一方未能履行本合同约定的义务，对方</w:t>
      </w:r>
    </w:p>
    <w:p w14:paraId="392BB790">
      <w:pPr>
        <w:spacing w:before="267" w:line="574" w:lineRule="exact"/>
        <w:jc w:val="right"/>
        <w:rPr>
          <w:rFonts w:hint="eastAsia" w:ascii="仿宋" w:hAnsi="仿宋" w:eastAsia="仿宋" w:cs="仿宋"/>
          <w:color w:val="auto"/>
          <w:sz w:val="23"/>
          <w:szCs w:val="23"/>
          <w:highlight w:val="none"/>
        </w:rPr>
      </w:pPr>
      <w:r>
        <w:rPr>
          <w:rFonts w:hint="eastAsia" w:ascii="仿宋" w:hAnsi="仿宋" w:eastAsia="仿宋" w:cs="仿宋"/>
          <w:color w:val="auto"/>
          <w:spacing w:val="7"/>
          <w:position w:val="26"/>
          <w:sz w:val="23"/>
          <w:szCs w:val="23"/>
          <w:highlight w:val="none"/>
        </w:rPr>
        <w:t>当事人均有权要求继续履行、采取补救措施或者赔偿损失等，且对方当事人行使的任何</w:t>
      </w:r>
    </w:p>
    <w:p w14:paraId="7A25E79F">
      <w:pPr>
        <w:spacing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权利救济方式均不视为其放弃了其他法定或者约定的权利救济方式；</w:t>
      </w:r>
    </w:p>
    <w:p w14:paraId="4626ECC2">
      <w:pPr>
        <w:spacing w:before="273"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1.6.6 如果出现政府采购监督管理部门</w:t>
      </w:r>
      <w:r>
        <w:rPr>
          <w:rFonts w:hint="eastAsia" w:ascii="仿宋" w:hAnsi="仿宋" w:eastAsia="仿宋" w:cs="仿宋"/>
          <w:color w:val="auto"/>
          <w:spacing w:val="6"/>
          <w:sz w:val="23"/>
          <w:szCs w:val="23"/>
          <w:highlight w:val="none"/>
        </w:rPr>
        <w:t>在处理投诉事项期间，书面通知甲方暂停采</w:t>
      </w:r>
    </w:p>
    <w:p w14:paraId="4481C076">
      <w:pPr>
        <w:spacing w:before="265" w:line="574" w:lineRule="exact"/>
        <w:jc w:val="right"/>
        <w:rPr>
          <w:rFonts w:hint="eastAsia" w:ascii="仿宋" w:hAnsi="仿宋" w:eastAsia="仿宋" w:cs="仿宋"/>
          <w:color w:val="auto"/>
          <w:sz w:val="23"/>
          <w:szCs w:val="23"/>
          <w:highlight w:val="none"/>
        </w:rPr>
      </w:pPr>
      <w:r>
        <w:rPr>
          <w:rFonts w:hint="eastAsia" w:ascii="仿宋" w:hAnsi="仿宋" w:eastAsia="仿宋" w:cs="仿宋"/>
          <w:color w:val="auto"/>
          <w:spacing w:val="5"/>
          <w:position w:val="26"/>
          <w:sz w:val="23"/>
          <w:szCs w:val="23"/>
          <w:highlight w:val="none"/>
        </w:rPr>
        <w:t>购活动的情形，或者询问或质疑事项可能影响中标结果的， 导致甲方中止履行合同的情</w:t>
      </w:r>
    </w:p>
    <w:p w14:paraId="08F3DDF8">
      <w:pPr>
        <w:spacing w:line="228" w:lineRule="auto"/>
        <w:ind w:left="6"/>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形，均不视为甲方违约。</w:t>
      </w:r>
    </w:p>
    <w:p w14:paraId="26E8D9E5">
      <w:pPr>
        <w:spacing w:before="248" w:line="165" w:lineRule="auto"/>
        <w:ind w:left="501"/>
        <w:outlineLvl w:val="1"/>
        <w:rPr>
          <w:rFonts w:hint="eastAsia" w:ascii="仿宋" w:hAnsi="仿宋" w:eastAsia="仿宋" w:cs="仿宋"/>
          <w:color w:val="auto"/>
          <w:sz w:val="25"/>
          <w:szCs w:val="25"/>
          <w:highlight w:val="none"/>
        </w:rPr>
      </w:pPr>
      <w:r>
        <w:rPr>
          <w:rFonts w:hint="eastAsia" w:ascii="仿宋" w:hAnsi="仿宋" w:eastAsia="仿宋" w:cs="仿宋"/>
          <w:color w:val="auto"/>
          <w:spacing w:val="6"/>
          <w:sz w:val="25"/>
          <w:szCs w:val="25"/>
          <w:highlight w:val="none"/>
        </w:rPr>
        <w:t>1.7合同争议的解决</w:t>
      </w:r>
    </w:p>
    <w:p w14:paraId="33B826E6">
      <w:pPr>
        <w:spacing w:before="291"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本合同履行过程中发生的任何争议，双方当事人均可通过和</w:t>
      </w:r>
      <w:r>
        <w:rPr>
          <w:rFonts w:hint="eastAsia" w:ascii="仿宋" w:hAnsi="仿宋" w:eastAsia="仿宋" w:cs="仿宋"/>
          <w:color w:val="auto"/>
          <w:spacing w:val="7"/>
          <w:sz w:val="23"/>
          <w:szCs w:val="23"/>
          <w:highlight w:val="none"/>
        </w:rPr>
        <w:t>解或者调解解决；不愿</w:t>
      </w:r>
    </w:p>
    <w:p w14:paraId="59F35702">
      <w:pPr>
        <w:spacing w:before="277" w:line="227" w:lineRule="auto"/>
        <w:ind w:left="4"/>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和解、调解或者和解、调解不成的， 可以选择下列第</w:t>
      </w:r>
      <w:r>
        <w:rPr>
          <w:rFonts w:hint="eastAsia" w:ascii="仿宋" w:hAnsi="仿宋" w:eastAsia="仿宋" w:cs="仿宋"/>
          <w:color w:val="auto"/>
          <w:spacing w:val="3"/>
          <w:sz w:val="23"/>
          <w:szCs w:val="23"/>
          <w:highlight w:val="none"/>
          <w:u w:val="single" w:color="auto"/>
        </w:rPr>
        <w:t xml:space="preserve">    </w:t>
      </w:r>
      <w:r>
        <w:rPr>
          <w:rFonts w:hint="eastAsia" w:ascii="仿宋" w:hAnsi="仿宋" w:eastAsia="仿宋" w:cs="仿宋"/>
          <w:color w:val="auto"/>
          <w:spacing w:val="-84"/>
          <w:sz w:val="23"/>
          <w:szCs w:val="23"/>
          <w:highlight w:val="none"/>
        </w:rPr>
        <w:t xml:space="preserve"> </w:t>
      </w:r>
      <w:r>
        <w:rPr>
          <w:rFonts w:hint="eastAsia" w:ascii="仿宋" w:hAnsi="仿宋" w:eastAsia="仿宋" w:cs="仿宋"/>
          <w:color w:val="auto"/>
          <w:spacing w:val="3"/>
          <w:sz w:val="23"/>
          <w:szCs w:val="23"/>
          <w:highlight w:val="none"/>
        </w:rPr>
        <w:t>种方式解决：</w:t>
      </w:r>
    </w:p>
    <w:p w14:paraId="1261555E">
      <w:pPr>
        <w:spacing w:before="275" w:line="227"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1.7.1 将争议提交</w:t>
      </w:r>
      <w:r>
        <w:rPr>
          <w:rFonts w:hint="eastAsia" w:ascii="仿宋" w:hAnsi="仿宋" w:eastAsia="仿宋" w:cs="仿宋"/>
          <w:color w:val="auto"/>
          <w:spacing w:val="6"/>
          <w:sz w:val="23"/>
          <w:szCs w:val="23"/>
          <w:highlight w:val="none"/>
          <w:u w:val="single" w:color="auto"/>
        </w:rPr>
        <w:t xml:space="preserve">              </w:t>
      </w:r>
      <w:r>
        <w:rPr>
          <w:rFonts w:hint="eastAsia" w:ascii="仿宋" w:hAnsi="仿宋" w:eastAsia="仿宋" w:cs="仿宋"/>
          <w:color w:val="auto"/>
          <w:spacing w:val="-90"/>
          <w:sz w:val="23"/>
          <w:szCs w:val="23"/>
          <w:highlight w:val="none"/>
        </w:rPr>
        <w:t xml:space="preserve"> </w:t>
      </w:r>
      <w:r>
        <w:rPr>
          <w:rFonts w:hint="eastAsia" w:ascii="仿宋" w:hAnsi="仿宋" w:eastAsia="仿宋" w:cs="仿宋"/>
          <w:color w:val="auto"/>
          <w:spacing w:val="6"/>
          <w:sz w:val="23"/>
          <w:szCs w:val="23"/>
          <w:highlight w:val="none"/>
        </w:rPr>
        <w:t>仲裁委员会依申请仲裁时其现行有效的</w:t>
      </w:r>
      <w:r>
        <w:rPr>
          <w:rFonts w:hint="eastAsia" w:ascii="仿宋" w:hAnsi="仿宋" w:eastAsia="仿宋" w:cs="仿宋"/>
          <w:color w:val="auto"/>
          <w:spacing w:val="5"/>
          <w:sz w:val="23"/>
          <w:szCs w:val="23"/>
          <w:highlight w:val="none"/>
        </w:rPr>
        <w:t>仲裁规</w:t>
      </w:r>
    </w:p>
    <w:p w14:paraId="3216BEFC">
      <w:pPr>
        <w:spacing w:before="280" w:line="227" w:lineRule="auto"/>
        <w:ind w:left="10"/>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则裁决；</w:t>
      </w:r>
    </w:p>
    <w:p w14:paraId="43541F03">
      <w:pPr>
        <w:spacing w:before="273" w:line="226" w:lineRule="auto"/>
        <w:ind w:left="51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1.7.2</w:t>
      </w:r>
      <w:r>
        <w:rPr>
          <w:rFonts w:hint="eastAsia" w:ascii="仿宋" w:hAnsi="仿宋" w:eastAsia="仿宋" w:cs="仿宋"/>
          <w:color w:val="auto"/>
          <w:spacing w:val="97"/>
          <w:sz w:val="23"/>
          <w:szCs w:val="23"/>
          <w:highlight w:val="none"/>
        </w:rPr>
        <w:t xml:space="preserve"> </w:t>
      </w:r>
      <w:r>
        <w:rPr>
          <w:rFonts w:hint="eastAsia" w:ascii="仿宋" w:hAnsi="仿宋" w:eastAsia="仿宋" w:cs="仿宋"/>
          <w:color w:val="auto"/>
          <w:spacing w:val="5"/>
          <w:sz w:val="23"/>
          <w:szCs w:val="23"/>
          <w:highlight w:val="none"/>
        </w:rPr>
        <w:t>向</w:t>
      </w:r>
      <w:r>
        <w:rPr>
          <w:rFonts w:hint="eastAsia" w:ascii="仿宋" w:hAnsi="仿宋" w:eastAsia="仿宋" w:cs="仿宋"/>
          <w:color w:val="auto"/>
          <w:spacing w:val="5"/>
          <w:sz w:val="23"/>
          <w:szCs w:val="23"/>
          <w:highlight w:val="none"/>
          <w:u w:val="single" w:color="auto"/>
        </w:rPr>
        <w:t xml:space="preserve">   （被告住所地、合同履行地、合同签订地、原告住所地、标的物所在</w:t>
      </w:r>
    </w:p>
    <w:p w14:paraId="6E8272A2">
      <w:pPr>
        <w:spacing w:before="279"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u w:val="single" w:color="auto"/>
        </w:rPr>
        <w:t xml:space="preserve">地等与争议有实际联系的地点中选出的人民法院名称）    </w:t>
      </w:r>
      <w:r>
        <w:rPr>
          <w:rFonts w:hint="eastAsia" w:ascii="仿宋" w:hAnsi="仿宋" w:eastAsia="仿宋" w:cs="仿宋"/>
          <w:color w:val="auto"/>
          <w:spacing w:val="-61"/>
          <w:sz w:val="23"/>
          <w:szCs w:val="23"/>
          <w:highlight w:val="none"/>
        </w:rPr>
        <w:t xml:space="preserve"> </w:t>
      </w:r>
      <w:r>
        <w:rPr>
          <w:rFonts w:hint="eastAsia" w:ascii="仿宋" w:hAnsi="仿宋" w:eastAsia="仿宋" w:cs="仿宋"/>
          <w:color w:val="auto"/>
          <w:spacing w:val="7"/>
          <w:sz w:val="23"/>
          <w:szCs w:val="23"/>
          <w:highlight w:val="none"/>
        </w:rPr>
        <w:t>人民法院起诉。</w:t>
      </w:r>
    </w:p>
    <w:p w14:paraId="7EACC753">
      <w:pPr>
        <w:pStyle w:val="4"/>
        <w:spacing w:before="250" w:line="171" w:lineRule="auto"/>
        <w:ind w:left="501"/>
        <w:outlineLvl w:val="1"/>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1.8</w:t>
      </w:r>
      <w:r>
        <w:rPr>
          <w:rFonts w:hint="eastAsia" w:ascii="仿宋" w:hAnsi="仿宋" w:eastAsia="仿宋" w:cs="仿宋"/>
          <w:color w:val="auto"/>
          <w:spacing w:val="67"/>
          <w:sz w:val="24"/>
          <w:szCs w:val="24"/>
          <w:highlight w:val="none"/>
        </w:rPr>
        <w:t xml:space="preserve"> </w:t>
      </w:r>
      <w:r>
        <w:rPr>
          <w:rFonts w:hint="eastAsia" w:ascii="仿宋" w:hAnsi="仿宋" w:eastAsia="仿宋" w:cs="仿宋"/>
          <w:color w:val="auto"/>
          <w:spacing w:val="5"/>
          <w:sz w:val="24"/>
          <w:szCs w:val="24"/>
          <w:highlight w:val="none"/>
        </w:rPr>
        <w:t>合同生效</w:t>
      </w:r>
    </w:p>
    <w:p w14:paraId="05D43787">
      <w:pPr>
        <w:spacing w:before="291" w:line="227" w:lineRule="auto"/>
        <w:ind w:left="484"/>
        <w:outlineLvl w:val="1"/>
        <w:rPr>
          <w:rFonts w:hint="eastAsia" w:ascii="仿宋" w:hAnsi="仿宋" w:eastAsia="仿宋" w:cs="仿宋"/>
          <w:color w:val="auto"/>
          <w:sz w:val="23"/>
          <w:szCs w:val="23"/>
          <w:highlight w:val="none"/>
        </w:rPr>
        <w:sectPr>
          <w:footerReference r:id="rId20"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8"/>
          <w:sz w:val="23"/>
          <w:szCs w:val="23"/>
          <w:highlight w:val="none"/>
        </w:rPr>
        <w:t>本合同自双方当事人盖章或者签字时生效。</w:t>
      </w:r>
    </w:p>
    <w:p w14:paraId="20FA7475">
      <w:pPr>
        <w:spacing w:before="10"/>
        <w:rPr>
          <w:rFonts w:hint="eastAsia" w:ascii="仿宋" w:hAnsi="仿宋" w:eastAsia="仿宋" w:cs="仿宋"/>
          <w:color w:val="auto"/>
          <w:highlight w:val="none"/>
        </w:rPr>
      </w:pPr>
    </w:p>
    <w:tbl>
      <w:tblPr>
        <w:tblStyle w:val="20"/>
        <w:tblW w:w="8168"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443"/>
        <w:gridCol w:w="4725"/>
      </w:tblGrid>
      <w:tr w14:paraId="171F387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9" w:hRule="atLeast"/>
        </w:trPr>
        <w:tc>
          <w:tcPr>
            <w:tcW w:w="3443" w:type="dxa"/>
            <w:vAlign w:val="top"/>
          </w:tcPr>
          <w:p w14:paraId="3447ED54">
            <w:pPr>
              <w:pStyle w:val="21"/>
              <w:spacing w:line="216" w:lineRule="auto"/>
              <w:ind w:left="47"/>
              <w:outlineLvl w:val="1"/>
              <w:rPr>
                <w:rFonts w:hint="eastAsia" w:ascii="仿宋" w:hAnsi="仿宋" w:eastAsia="仿宋" w:cs="仿宋"/>
                <w:color w:val="auto"/>
                <w:highlight w:val="none"/>
              </w:rPr>
            </w:pPr>
            <w:r>
              <w:rPr>
                <w:rFonts w:hint="eastAsia" w:ascii="仿宋" w:hAnsi="仿宋" w:eastAsia="仿宋" w:cs="仿宋"/>
                <w:color w:val="auto"/>
                <w:spacing w:val="-5"/>
                <w:highlight w:val="none"/>
              </w:rPr>
              <w:t>甲方：</w:t>
            </w:r>
          </w:p>
        </w:tc>
        <w:tc>
          <w:tcPr>
            <w:tcW w:w="4725" w:type="dxa"/>
            <w:vAlign w:val="top"/>
          </w:tcPr>
          <w:p w14:paraId="03B0D0A1">
            <w:pPr>
              <w:pStyle w:val="21"/>
              <w:spacing w:line="216" w:lineRule="auto"/>
              <w:ind w:left="1510"/>
              <w:rPr>
                <w:rFonts w:hint="eastAsia" w:ascii="仿宋" w:hAnsi="仿宋" w:eastAsia="仿宋" w:cs="仿宋"/>
                <w:color w:val="auto"/>
                <w:highlight w:val="none"/>
              </w:rPr>
            </w:pPr>
            <w:r>
              <w:rPr>
                <w:rFonts w:hint="eastAsia" w:ascii="仿宋" w:hAnsi="仿宋" w:eastAsia="仿宋" w:cs="仿宋"/>
                <w:color w:val="auto"/>
                <w:spacing w:val="-2"/>
                <w:highlight w:val="none"/>
              </w:rPr>
              <w:t>乙方：</w:t>
            </w:r>
          </w:p>
        </w:tc>
      </w:tr>
      <w:tr w14:paraId="76FD61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26" w:hRule="atLeast"/>
        </w:trPr>
        <w:tc>
          <w:tcPr>
            <w:tcW w:w="3443" w:type="dxa"/>
            <w:vAlign w:val="top"/>
          </w:tcPr>
          <w:p w14:paraId="5848992A">
            <w:pPr>
              <w:pStyle w:val="21"/>
              <w:spacing w:before="146" w:line="227" w:lineRule="auto"/>
              <w:ind w:left="14"/>
              <w:rPr>
                <w:rFonts w:hint="eastAsia" w:ascii="仿宋" w:hAnsi="仿宋" w:eastAsia="仿宋" w:cs="仿宋"/>
                <w:color w:val="auto"/>
                <w:highlight w:val="none"/>
              </w:rPr>
            </w:pPr>
            <w:r>
              <w:rPr>
                <w:rFonts w:hint="eastAsia" w:ascii="仿宋" w:hAnsi="仿宋" w:eastAsia="仿宋" w:cs="仿宋"/>
                <w:color w:val="auto"/>
                <w:spacing w:val="5"/>
                <w:highlight w:val="none"/>
              </w:rPr>
              <w:t>统一社会信用代码：</w:t>
            </w:r>
          </w:p>
        </w:tc>
        <w:tc>
          <w:tcPr>
            <w:tcW w:w="4725" w:type="dxa"/>
            <w:vAlign w:val="top"/>
          </w:tcPr>
          <w:p w14:paraId="0610F455">
            <w:pPr>
              <w:pStyle w:val="21"/>
              <w:spacing w:before="146" w:line="227" w:lineRule="auto"/>
              <w:jc w:val="right"/>
              <w:outlineLvl w:val="1"/>
              <w:rPr>
                <w:rFonts w:hint="eastAsia" w:ascii="仿宋" w:hAnsi="仿宋" w:eastAsia="仿宋" w:cs="仿宋"/>
                <w:color w:val="auto"/>
                <w:highlight w:val="none"/>
              </w:rPr>
            </w:pPr>
            <w:r>
              <w:rPr>
                <w:rFonts w:hint="eastAsia" w:ascii="仿宋" w:hAnsi="仿宋" w:eastAsia="仿宋" w:cs="仿宋"/>
                <w:color w:val="auto"/>
                <w:spacing w:val="-15"/>
                <w:highlight w:val="none"/>
              </w:rPr>
              <w:t>统一社会信用代码或身份证号码：</w:t>
            </w:r>
          </w:p>
        </w:tc>
      </w:tr>
      <w:tr w14:paraId="18BBAAC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40" w:hRule="atLeast"/>
        </w:trPr>
        <w:tc>
          <w:tcPr>
            <w:tcW w:w="3443" w:type="dxa"/>
            <w:vAlign w:val="top"/>
          </w:tcPr>
          <w:p w14:paraId="5C0065B8">
            <w:pPr>
              <w:spacing w:line="362" w:lineRule="auto"/>
              <w:rPr>
                <w:rFonts w:hint="eastAsia" w:ascii="仿宋" w:hAnsi="仿宋" w:eastAsia="仿宋" w:cs="仿宋"/>
                <w:color w:val="auto"/>
                <w:sz w:val="21"/>
                <w:highlight w:val="none"/>
              </w:rPr>
            </w:pPr>
          </w:p>
          <w:p w14:paraId="010A7136">
            <w:pPr>
              <w:pStyle w:val="21"/>
              <w:spacing w:before="74" w:line="228" w:lineRule="auto"/>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住所：</w:t>
            </w:r>
          </w:p>
        </w:tc>
        <w:tc>
          <w:tcPr>
            <w:tcW w:w="4725" w:type="dxa"/>
            <w:vAlign w:val="top"/>
          </w:tcPr>
          <w:p w14:paraId="06BB35B1">
            <w:pPr>
              <w:spacing w:line="362" w:lineRule="auto"/>
              <w:rPr>
                <w:rFonts w:hint="eastAsia" w:ascii="仿宋" w:hAnsi="仿宋" w:eastAsia="仿宋" w:cs="仿宋"/>
                <w:color w:val="auto"/>
                <w:sz w:val="21"/>
                <w:highlight w:val="none"/>
              </w:rPr>
            </w:pPr>
          </w:p>
          <w:p w14:paraId="4A789651">
            <w:pPr>
              <w:pStyle w:val="21"/>
              <w:spacing w:before="74" w:line="228" w:lineRule="auto"/>
              <w:ind w:left="1477"/>
              <w:rPr>
                <w:rFonts w:hint="eastAsia" w:ascii="仿宋" w:hAnsi="仿宋" w:eastAsia="仿宋" w:cs="仿宋"/>
                <w:color w:val="auto"/>
                <w:highlight w:val="none"/>
              </w:rPr>
            </w:pPr>
            <w:r>
              <w:rPr>
                <w:rFonts w:hint="eastAsia" w:ascii="仿宋" w:hAnsi="仿宋" w:eastAsia="仿宋" w:cs="仿宋"/>
                <w:color w:val="auto"/>
                <w:spacing w:val="3"/>
                <w:highlight w:val="none"/>
              </w:rPr>
              <w:t>住所：</w:t>
            </w:r>
          </w:p>
        </w:tc>
      </w:tr>
      <w:tr w14:paraId="63868A3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3443" w:type="dxa"/>
            <w:vAlign w:val="top"/>
          </w:tcPr>
          <w:p w14:paraId="1E2B848B">
            <w:pPr>
              <w:pStyle w:val="21"/>
              <w:spacing w:before="161" w:line="227" w:lineRule="auto"/>
              <w:ind w:left="5"/>
              <w:outlineLvl w:val="1"/>
              <w:rPr>
                <w:rFonts w:hint="eastAsia" w:ascii="仿宋" w:hAnsi="仿宋" w:eastAsia="仿宋" w:cs="仿宋"/>
                <w:color w:val="auto"/>
                <w:highlight w:val="none"/>
              </w:rPr>
            </w:pPr>
            <w:r>
              <w:rPr>
                <w:rFonts w:hint="eastAsia" w:ascii="仿宋" w:hAnsi="仿宋" w:eastAsia="仿宋" w:cs="仿宋"/>
                <w:color w:val="auto"/>
                <w:spacing w:val="6"/>
                <w:highlight w:val="none"/>
              </w:rPr>
              <w:t>法定代表人或</w:t>
            </w:r>
          </w:p>
        </w:tc>
        <w:tc>
          <w:tcPr>
            <w:tcW w:w="4725" w:type="dxa"/>
            <w:vAlign w:val="top"/>
          </w:tcPr>
          <w:p w14:paraId="6BA95AC3">
            <w:pPr>
              <w:pStyle w:val="21"/>
              <w:spacing w:before="161" w:line="227" w:lineRule="auto"/>
              <w:ind w:left="1482"/>
              <w:rPr>
                <w:rFonts w:hint="eastAsia" w:ascii="仿宋" w:hAnsi="仿宋" w:eastAsia="仿宋" w:cs="仿宋"/>
                <w:color w:val="auto"/>
                <w:highlight w:val="none"/>
              </w:rPr>
            </w:pPr>
            <w:r>
              <w:rPr>
                <w:rFonts w:hint="eastAsia" w:ascii="仿宋" w:hAnsi="仿宋" w:eastAsia="仿宋" w:cs="仿宋"/>
                <w:color w:val="auto"/>
                <w:spacing w:val="5"/>
                <w:highlight w:val="none"/>
              </w:rPr>
              <w:t>法定代表人</w:t>
            </w:r>
          </w:p>
        </w:tc>
      </w:tr>
      <w:tr w14:paraId="3BD0104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43" w:type="dxa"/>
            <w:vAlign w:val="top"/>
          </w:tcPr>
          <w:p w14:paraId="0678693E">
            <w:pPr>
              <w:pStyle w:val="21"/>
              <w:spacing w:before="159" w:line="227" w:lineRule="auto"/>
              <w:outlineLvl w:val="1"/>
              <w:rPr>
                <w:rFonts w:hint="eastAsia" w:ascii="仿宋" w:hAnsi="仿宋" w:eastAsia="仿宋" w:cs="仿宋"/>
                <w:color w:val="auto"/>
                <w:highlight w:val="none"/>
              </w:rPr>
            </w:pPr>
            <w:r>
              <w:rPr>
                <w:rFonts w:hint="eastAsia" w:ascii="仿宋" w:hAnsi="仿宋" w:eastAsia="仿宋" w:cs="仿宋"/>
                <w:color w:val="auto"/>
                <w:spacing w:val="7"/>
                <w:highlight w:val="none"/>
              </w:rPr>
              <w:t>授权代表（签字</w:t>
            </w:r>
            <w:r>
              <w:rPr>
                <w:rFonts w:hint="eastAsia" w:ascii="仿宋" w:hAnsi="仿宋" w:eastAsia="仿宋" w:cs="仿宋"/>
                <w:color w:val="auto"/>
                <w:highlight w:val="none"/>
              </w:rPr>
              <w:t>）：</w:t>
            </w:r>
          </w:p>
        </w:tc>
        <w:tc>
          <w:tcPr>
            <w:tcW w:w="4725" w:type="dxa"/>
            <w:vAlign w:val="top"/>
          </w:tcPr>
          <w:p w14:paraId="12F294A1">
            <w:pPr>
              <w:pStyle w:val="21"/>
              <w:spacing w:before="159" w:line="227" w:lineRule="auto"/>
              <w:ind w:left="1604"/>
              <w:rPr>
                <w:rFonts w:hint="eastAsia" w:ascii="仿宋" w:hAnsi="仿宋" w:eastAsia="仿宋" w:cs="仿宋"/>
                <w:color w:val="auto"/>
                <w:highlight w:val="none"/>
              </w:rPr>
            </w:pPr>
            <w:r>
              <w:rPr>
                <w:rFonts w:hint="eastAsia" w:ascii="仿宋" w:hAnsi="仿宋" w:eastAsia="仿宋" w:cs="仿宋"/>
                <w:color w:val="auto"/>
                <w:spacing w:val="8"/>
                <w:highlight w:val="none"/>
              </w:rPr>
              <w:t>或授权代表（签字）</w:t>
            </w:r>
            <w:r>
              <w:rPr>
                <w:rFonts w:hint="eastAsia" w:ascii="仿宋" w:hAnsi="仿宋" w:eastAsia="仿宋" w:cs="仿宋"/>
                <w:color w:val="auto"/>
                <w:spacing w:val="-45"/>
                <w:highlight w:val="none"/>
              </w:rPr>
              <w:t xml:space="preserve"> </w:t>
            </w:r>
            <w:r>
              <w:rPr>
                <w:rFonts w:hint="eastAsia" w:ascii="仿宋" w:hAnsi="仿宋" w:eastAsia="仿宋" w:cs="仿宋"/>
                <w:color w:val="auto"/>
                <w:spacing w:val="8"/>
                <w:highlight w:val="none"/>
              </w:rPr>
              <w:t>:</w:t>
            </w:r>
          </w:p>
        </w:tc>
      </w:tr>
      <w:tr w14:paraId="2E71AEA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43" w:type="dxa"/>
            <w:vAlign w:val="top"/>
          </w:tcPr>
          <w:p w14:paraId="633188CD">
            <w:pPr>
              <w:pStyle w:val="21"/>
              <w:spacing w:before="159" w:line="230" w:lineRule="auto"/>
              <w:ind w:left="5"/>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联系人：</w:t>
            </w:r>
          </w:p>
        </w:tc>
        <w:tc>
          <w:tcPr>
            <w:tcW w:w="4725" w:type="dxa"/>
            <w:vAlign w:val="top"/>
          </w:tcPr>
          <w:p w14:paraId="3F28841E">
            <w:pPr>
              <w:pStyle w:val="21"/>
              <w:spacing w:before="159" w:line="230" w:lineRule="auto"/>
              <w:ind w:left="1482"/>
              <w:rPr>
                <w:rFonts w:hint="eastAsia" w:ascii="仿宋" w:hAnsi="仿宋" w:eastAsia="仿宋" w:cs="仿宋"/>
                <w:color w:val="auto"/>
                <w:highlight w:val="none"/>
              </w:rPr>
            </w:pPr>
            <w:r>
              <w:rPr>
                <w:rFonts w:hint="eastAsia" w:ascii="仿宋" w:hAnsi="仿宋" w:eastAsia="仿宋" w:cs="仿宋"/>
                <w:color w:val="auto"/>
                <w:spacing w:val="3"/>
                <w:highlight w:val="none"/>
              </w:rPr>
              <w:t>联系人：</w:t>
            </w:r>
          </w:p>
        </w:tc>
      </w:tr>
      <w:tr w14:paraId="221A034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3443" w:type="dxa"/>
            <w:vAlign w:val="top"/>
          </w:tcPr>
          <w:p w14:paraId="249ABC3C">
            <w:pPr>
              <w:pStyle w:val="21"/>
              <w:spacing w:before="159" w:line="228" w:lineRule="auto"/>
              <w:ind w:left="14"/>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约定送达地址：</w:t>
            </w:r>
          </w:p>
        </w:tc>
        <w:tc>
          <w:tcPr>
            <w:tcW w:w="4725" w:type="dxa"/>
            <w:vAlign w:val="top"/>
          </w:tcPr>
          <w:p w14:paraId="125F621C">
            <w:pPr>
              <w:pStyle w:val="21"/>
              <w:spacing w:before="159" w:line="228" w:lineRule="auto"/>
              <w:ind w:left="1491"/>
              <w:rPr>
                <w:rFonts w:hint="eastAsia" w:ascii="仿宋" w:hAnsi="仿宋" w:eastAsia="仿宋" w:cs="仿宋"/>
                <w:color w:val="auto"/>
                <w:highlight w:val="none"/>
              </w:rPr>
            </w:pPr>
            <w:r>
              <w:rPr>
                <w:rFonts w:hint="eastAsia" w:ascii="仿宋" w:hAnsi="仿宋" w:eastAsia="仿宋" w:cs="仿宋"/>
                <w:color w:val="auto"/>
                <w:spacing w:val="4"/>
                <w:highlight w:val="none"/>
              </w:rPr>
              <w:t>约定送达地址：</w:t>
            </w:r>
          </w:p>
        </w:tc>
      </w:tr>
      <w:tr w14:paraId="69FAD03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43" w:type="dxa"/>
            <w:vAlign w:val="top"/>
          </w:tcPr>
          <w:p w14:paraId="0A973E12">
            <w:pPr>
              <w:pStyle w:val="21"/>
              <w:spacing w:before="160" w:line="227" w:lineRule="auto"/>
              <w:ind w:left="38"/>
              <w:outlineLvl w:val="1"/>
              <w:rPr>
                <w:rFonts w:hint="eastAsia" w:ascii="仿宋" w:hAnsi="仿宋" w:eastAsia="仿宋" w:cs="仿宋"/>
                <w:color w:val="auto"/>
                <w:highlight w:val="none"/>
              </w:rPr>
            </w:pPr>
            <w:r>
              <w:rPr>
                <w:rFonts w:hint="eastAsia" w:ascii="仿宋" w:hAnsi="仿宋" w:eastAsia="仿宋" w:cs="仿宋"/>
                <w:color w:val="auto"/>
                <w:spacing w:val="-2"/>
                <w:highlight w:val="none"/>
              </w:rPr>
              <w:t>邮政编码：</w:t>
            </w:r>
          </w:p>
        </w:tc>
        <w:tc>
          <w:tcPr>
            <w:tcW w:w="4725" w:type="dxa"/>
            <w:vAlign w:val="top"/>
          </w:tcPr>
          <w:p w14:paraId="03A1169E">
            <w:pPr>
              <w:pStyle w:val="21"/>
              <w:spacing w:before="160" w:line="227" w:lineRule="auto"/>
              <w:ind w:left="1515"/>
              <w:rPr>
                <w:rFonts w:hint="eastAsia" w:ascii="仿宋" w:hAnsi="仿宋" w:eastAsia="仿宋" w:cs="仿宋"/>
                <w:color w:val="auto"/>
                <w:highlight w:val="none"/>
              </w:rPr>
            </w:pPr>
            <w:r>
              <w:rPr>
                <w:rFonts w:hint="eastAsia" w:ascii="仿宋" w:hAnsi="仿宋" w:eastAsia="仿宋" w:cs="仿宋"/>
                <w:color w:val="auto"/>
                <w:spacing w:val="-2"/>
                <w:highlight w:val="none"/>
              </w:rPr>
              <w:t>邮政编码：</w:t>
            </w:r>
          </w:p>
        </w:tc>
      </w:tr>
      <w:tr w14:paraId="243176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43" w:type="dxa"/>
            <w:vAlign w:val="top"/>
          </w:tcPr>
          <w:p w14:paraId="4C9BF743">
            <w:pPr>
              <w:pStyle w:val="21"/>
              <w:spacing w:before="160" w:line="230" w:lineRule="auto"/>
              <w:ind w:left="58"/>
              <w:outlineLvl w:val="1"/>
              <w:rPr>
                <w:rFonts w:hint="eastAsia" w:ascii="仿宋" w:hAnsi="仿宋" w:eastAsia="仿宋" w:cs="仿宋"/>
                <w:color w:val="auto"/>
                <w:highlight w:val="none"/>
              </w:rPr>
            </w:pPr>
            <w:r>
              <w:rPr>
                <w:rFonts w:hint="eastAsia" w:ascii="仿宋" w:hAnsi="仿宋" w:eastAsia="仿宋" w:cs="仿宋"/>
                <w:color w:val="auto"/>
                <w:spacing w:val="-6"/>
                <w:highlight w:val="none"/>
              </w:rPr>
              <w:t>电话</w:t>
            </w:r>
            <w:r>
              <w:rPr>
                <w:rFonts w:hint="eastAsia" w:ascii="仿宋" w:hAnsi="仿宋" w:eastAsia="仿宋" w:cs="仿宋"/>
                <w:color w:val="auto"/>
                <w:spacing w:val="-66"/>
                <w:highlight w:val="none"/>
              </w:rPr>
              <w:t xml:space="preserve"> </w:t>
            </w:r>
            <w:r>
              <w:rPr>
                <w:rFonts w:hint="eastAsia" w:ascii="仿宋" w:hAnsi="仿宋" w:eastAsia="仿宋" w:cs="仿宋"/>
                <w:color w:val="auto"/>
                <w:spacing w:val="-6"/>
                <w:highlight w:val="none"/>
              </w:rPr>
              <w:t>:</w:t>
            </w:r>
          </w:p>
        </w:tc>
        <w:tc>
          <w:tcPr>
            <w:tcW w:w="4725" w:type="dxa"/>
            <w:vAlign w:val="top"/>
          </w:tcPr>
          <w:p w14:paraId="26E57276">
            <w:pPr>
              <w:pStyle w:val="21"/>
              <w:spacing w:before="160" w:line="230" w:lineRule="auto"/>
              <w:ind w:left="1535"/>
              <w:rPr>
                <w:rFonts w:hint="eastAsia" w:ascii="仿宋" w:hAnsi="仿宋" w:eastAsia="仿宋" w:cs="仿宋"/>
                <w:color w:val="auto"/>
                <w:highlight w:val="none"/>
              </w:rPr>
            </w:pPr>
            <w:r>
              <w:rPr>
                <w:rFonts w:hint="eastAsia" w:ascii="仿宋" w:hAnsi="仿宋" w:eastAsia="仿宋" w:cs="仿宋"/>
                <w:color w:val="auto"/>
                <w:spacing w:val="-6"/>
                <w:highlight w:val="none"/>
              </w:rPr>
              <w:t>电话</w:t>
            </w:r>
            <w:r>
              <w:rPr>
                <w:rFonts w:hint="eastAsia" w:ascii="仿宋" w:hAnsi="仿宋" w:eastAsia="仿宋" w:cs="仿宋"/>
                <w:color w:val="auto"/>
                <w:spacing w:val="-66"/>
                <w:highlight w:val="none"/>
              </w:rPr>
              <w:t xml:space="preserve"> </w:t>
            </w:r>
            <w:r>
              <w:rPr>
                <w:rFonts w:hint="eastAsia" w:ascii="仿宋" w:hAnsi="仿宋" w:eastAsia="仿宋" w:cs="仿宋"/>
                <w:color w:val="auto"/>
                <w:spacing w:val="-6"/>
                <w:highlight w:val="none"/>
              </w:rPr>
              <w:t>:</w:t>
            </w:r>
          </w:p>
        </w:tc>
      </w:tr>
      <w:tr w14:paraId="39B3CB8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3443" w:type="dxa"/>
            <w:vAlign w:val="top"/>
          </w:tcPr>
          <w:p w14:paraId="066179A1">
            <w:pPr>
              <w:pStyle w:val="21"/>
              <w:spacing w:before="160" w:line="227" w:lineRule="auto"/>
              <w:outlineLvl w:val="1"/>
              <w:rPr>
                <w:rFonts w:hint="eastAsia" w:ascii="仿宋" w:hAnsi="仿宋" w:eastAsia="仿宋" w:cs="仿宋"/>
                <w:color w:val="auto"/>
                <w:highlight w:val="none"/>
              </w:rPr>
            </w:pPr>
            <w:r>
              <w:rPr>
                <w:rFonts w:hint="eastAsia" w:ascii="仿宋" w:hAnsi="仿宋" w:eastAsia="仿宋" w:cs="仿宋"/>
                <w:color w:val="auto"/>
                <w:spacing w:val="8"/>
                <w:highlight w:val="none"/>
              </w:rPr>
              <w:t>传真</w:t>
            </w:r>
            <w:r>
              <w:rPr>
                <w:rFonts w:hint="eastAsia" w:ascii="仿宋" w:hAnsi="仿宋" w:eastAsia="仿宋" w:cs="仿宋"/>
                <w:color w:val="auto"/>
                <w:spacing w:val="-59"/>
                <w:highlight w:val="none"/>
              </w:rPr>
              <w:t xml:space="preserve"> </w:t>
            </w:r>
            <w:r>
              <w:rPr>
                <w:rFonts w:hint="eastAsia" w:ascii="仿宋" w:hAnsi="仿宋" w:eastAsia="仿宋" w:cs="仿宋"/>
                <w:color w:val="auto"/>
                <w:spacing w:val="8"/>
                <w:highlight w:val="none"/>
              </w:rPr>
              <w:t>:</w:t>
            </w:r>
          </w:p>
        </w:tc>
        <w:tc>
          <w:tcPr>
            <w:tcW w:w="4725" w:type="dxa"/>
            <w:vAlign w:val="top"/>
          </w:tcPr>
          <w:p w14:paraId="66BEEEE0">
            <w:pPr>
              <w:pStyle w:val="21"/>
              <w:spacing w:before="160" w:line="227" w:lineRule="auto"/>
              <w:ind w:left="1476"/>
              <w:rPr>
                <w:rFonts w:hint="eastAsia" w:ascii="仿宋" w:hAnsi="仿宋" w:eastAsia="仿宋" w:cs="仿宋"/>
                <w:color w:val="auto"/>
                <w:highlight w:val="none"/>
              </w:rPr>
            </w:pPr>
            <w:r>
              <w:rPr>
                <w:rFonts w:hint="eastAsia" w:ascii="仿宋" w:hAnsi="仿宋" w:eastAsia="仿宋" w:cs="仿宋"/>
                <w:color w:val="auto"/>
                <w:spacing w:val="8"/>
                <w:highlight w:val="none"/>
              </w:rPr>
              <w:t>传真</w:t>
            </w:r>
            <w:r>
              <w:rPr>
                <w:rFonts w:hint="eastAsia" w:ascii="仿宋" w:hAnsi="仿宋" w:eastAsia="仿宋" w:cs="仿宋"/>
                <w:color w:val="auto"/>
                <w:spacing w:val="-59"/>
                <w:highlight w:val="none"/>
              </w:rPr>
              <w:t xml:space="preserve"> </w:t>
            </w:r>
            <w:r>
              <w:rPr>
                <w:rFonts w:hint="eastAsia" w:ascii="仿宋" w:hAnsi="仿宋" w:eastAsia="仿宋" w:cs="仿宋"/>
                <w:color w:val="auto"/>
                <w:spacing w:val="8"/>
                <w:highlight w:val="none"/>
              </w:rPr>
              <w:t>:</w:t>
            </w:r>
          </w:p>
        </w:tc>
      </w:tr>
      <w:tr w14:paraId="18397D3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3443" w:type="dxa"/>
            <w:vAlign w:val="top"/>
          </w:tcPr>
          <w:p w14:paraId="03449C32">
            <w:pPr>
              <w:pStyle w:val="21"/>
              <w:spacing w:before="160" w:line="228" w:lineRule="auto"/>
              <w:ind w:left="58"/>
              <w:outlineLvl w:val="1"/>
              <w:rPr>
                <w:rFonts w:hint="eastAsia" w:ascii="仿宋" w:hAnsi="仿宋" w:eastAsia="仿宋" w:cs="仿宋"/>
                <w:color w:val="auto"/>
                <w:highlight w:val="none"/>
              </w:rPr>
            </w:pPr>
            <w:r>
              <w:rPr>
                <w:rFonts w:hint="eastAsia" w:ascii="仿宋" w:hAnsi="仿宋" w:eastAsia="仿宋" w:cs="仿宋"/>
                <w:color w:val="auto"/>
                <w:spacing w:val="-5"/>
                <w:highlight w:val="none"/>
              </w:rPr>
              <w:t>电子邮箱：</w:t>
            </w:r>
          </w:p>
        </w:tc>
        <w:tc>
          <w:tcPr>
            <w:tcW w:w="4725" w:type="dxa"/>
            <w:vAlign w:val="top"/>
          </w:tcPr>
          <w:p w14:paraId="6E9FBF1C">
            <w:pPr>
              <w:pStyle w:val="21"/>
              <w:spacing w:before="160" w:line="228" w:lineRule="auto"/>
              <w:ind w:left="1535"/>
              <w:rPr>
                <w:rFonts w:hint="eastAsia" w:ascii="仿宋" w:hAnsi="仿宋" w:eastAsia="仿宋" w:cs="仿宋"/>
                <w:color w:val="auto"/>
                <w:highlight w:val="none"/>
              </w:rPr>
            </w:pPr>
            <w:r>
              <w:rPr>
                <w:rFonts w:hint="eastAsia" w:ascii="仿宋" w:hAnsi="仿宋" w:eastAsia="仿宋" w:cs="仿宋"/>
                <w:color w:val="auto"/>
                <w:spacing w:val="-5"/>
                <w:highlight w:val="none"/>
              </w:rPr>
              <w:t>电子邮箱：</w:t>
            </w:r>
          </w:p>
        </w:tc>
      </w:tr>
      <w:tr w14:paraId="567D652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43" w:type="dxa"/>
            <w:vAlign w:val="top"/>
          </w:tcPr>
          <w:p w14:paraId="13E77610">
            <w:pPr>
              <w:pStyle w:val="21"/>
              <w:spacing w:before="161" w:line="228" w:lineRule="auto"/>
              <w:ind w:left="5"/>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开户银行：</w:t>
            </w:r>
          </w:p>
        </w:tc>
        <w:tc>
          <w:tcPr>
            <w:tcW w:w="4725" w:type="dxa"/>
            <w:vAlign w:val="top"/>
          </w:tcPr>
          <w:p w14:paraId="772314DA">
            <w:pPr>
              <w:pStyle w:val="21"/>
              <w:spacing w:before="161" w:line="228" w:lineRule="auto"/>
              <w:ind w:left="1482"/>
              <w:rPr>
                <w:rFonts w:hint="eastAsia" w:ascii="仿宋" w:hAnsi="仿宋" w:eastAsia="仿宋" w:cs="仿宋"/>
                <w:color w:val="auto"/>
                <w:highlight w:val="none"/>
              </w:rPr>
            </w:pPr>
            <w:r>
              <w:rPr>
                <w:rFonts w:hint="eastAsia" w:ascii="仿宋" w:hAnsi="仿宋" w:eastAsia="仿宋" w:cs="仿宋"/>
                <w:color w:val="auto"/>
                <w:spacing w:val="4"/>
                <w:highlight w:val="none"/>
              </w:rPr>
              <w:t>开户银行：</w:t>
            </w:r>
          </w:p>
        </w:tc>
      </w:tr>
      <w:tr w14:paraId="0E26EF2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8" w:hRule="atLeast"/>
        </w:trPr>
        <w:tc>
          <w:tcPr>
            <w:tcW w:w="3443" w:type="dxa"/>
            <w:vAlign w:val="top"/>
          </w:tcPr>
          <w:p w14:paraId="38DF45C2">
            <w:pPr>
              <w:pStyle w:val="21"/>
              <w:spacing w:before="162" w:line="228" w:lineRule="auto"/>
              <w:ind w:left="5"/>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开户名称：</w:t>
            </w:r>
          </w:p>
        </w:tc>
        <w:tc>
          <w:tcPr>
            <w:tcW w:w="4725" w:type="dxa"/>
            <w:vAlign w:val="top"/>
          </w:tcPr>
          <w:p w14:paraId="156DC921">
            <w:pPr>
              <w:pStyle w:val="21"/>
              <w:spacing w:before="162" w:line="228" w:lineRule="auto"/>
              <w:ind w:left="1482"/>
              <w:rPr>
                <w:rFonts w:hint="eastAsia" w:ascii="仿宋" w:hAnsi="仿宋" w:eastAsia="仿宋" w:cs="仿宋"/>
                <w:color w:val="auto"/>
                <w:highlight w:val="none"/>
              </w:rPr>
            </w:pPr>
            <w:r>
              <w:rPr>
                <w:rFonts w:hint="eastAsia" w:ascii="仿宋" w:hAnsi="仿宋" w:eastAsia="仿宋" w:cs="仿宋"/>
                <w:color w:val="auto"/>
                <w:spacing w:val="4"/>
                <w:highlight w:val="none"/>
              </w:rPr>
              <w:t>开户名称：</w:t>
            </w:r>
          </w:p>
        </w:tc>
      </w:tr>
      <w:tr w14:paraId="4D51753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3443" w:type="dxa"/>
            <w:vAlign w:val="top"/>
          </w:tcPr>
          <w:p w14:paraId="0F7FDA4F">
            <w:pPr>
              <w:pStyle w:val="21"/>
              <w:spacing w:before="137" w:line="184" w:lineRule="auto"/>
              <w:ind w:left="5"/>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开户账号：</w:t>
            </w:r>
          </w:p>
        </w:tc>
        <w:tc>
          <w:tcPr>
            <w:tcW w:w="4725" w:type="dxa"/>
            <w:vAlign w:val="top"/>
          </w:tcPr>
          <w:p w14:paraId="6D5817D5">
            <w:pPr>
              <w:pStyle w:val="21"/>
              <w:spacing w:before="137" w:line="184" w:lineRule="auto"/>
              <w:ind w:left="1482"/>
              <w:rPr>
                <w:rFonts w:hint="eastAsia" w:ascii="仿宋" w:hAnsi="仿宋" w:eastAsia="仿宋" w:cs="仿宋"/>
                <w:color w:val="auto"/>
                <w:highlight w:val="none"/>
              </w:rPr>
            </w:pPr>
            <w:r>
              <w:rPr>
                <w:rFonts w:hint="eastAsia" w:ascii="仿宋" w:hAnsi="仿宋" w:eastAsia="仿宋" w:cs="仿宋"/>
                <w:color w:val="auto"/>
                <w:spacing w:val="4"/>
                <w:highlight w:val="none"/>
              </w:rPr>
              <w:t>开户账号：</w:t>
            </w:r>
          </w:p>
        </w:tc>
      </w:tr>
    </w:tbl>
    <w:p w14:paraId="242BF1DC">
      <w:pPr>
        <w:rPr>
          <w:rFonts w:hint="eastAsia" w:ascii="仿宋" w:hAnsi="仿宋" w:eastAsia="仿宋" w:cs="仿宋"/>
          <w:color w:val="auto"/>
          <w:highlight w:val="none"/>
        </w:rPr>
        <w:sectPr>
          <w:footerReference r:id="rId21" w:type="default"/>
          <w:pgSz w:w="11905" w:h="16838"/>
          <w:pgMar w:top="1020" w:right="1134" w:bottom="1020" w:left="1134" w:header="0" w:footer="573" w:gutter="0"/>
          <w:pgNumType w:fmt="decimal"/>
          <w:cols w:space="0" w:num="1"/>
          <w:rtlGutter w:val="0"/>
          <w:docGrid w:linePitch="0" w:charSpace="0"/>
        </w:sectPr>
      </w:pPr>
    </w:p>
    <w:p w14:paraId="5912406B">
      <w:pPr>
        <w:pStyle w:val="4"/>
        <w:spacing w:line="284" w:lineRule="auto"/>
        <w:rPr>
          <w:rFonts w:hint="eastAsia" w:ascii="仿宋" w:hAnsi="仿宋" w:eastAsia="仿宋" w:cs="仿宋"/>
          <w:color w:val="auto"/>
          <w:highlight w:val="none"/>
        </w:rPr>
      </w:pPr>
    </w:p>
    <w:p w14:paraId="75804975">
      <w:pPr>
        <w:spacing w:before="103" w:line="173" w:lineRule="auto"/>
        <w:ind w:left="3341"/>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第二部分</w:t>
      </w:r>
      <w:r>
        <w:rPr>
          <w:rFonts w:hint="eastAsia" w:ascii="仿宋" w:hAnsi="仿宋" w:eastAsia="仿宋" w:cs="仿宋"/>
          <w:color w:val="auto"/>
          <w:spacing w:val="23"/>
          <w:sz w:val="24"/>
          <w:szCs w:val="24"/>
          <w:highlight w:val="none"/>
        </w:rPr>
        <w:t xml:space="preserve"> </w:t>
      </w:r>
      <w:r>
        <w:rPr>
          <w:rFonts w:hint="eastAsia" w:ascii="仿宋" w:hAnsi="仿宋" w:eastAsia="仿宋" w:cs="仿宋"/>
          <w:color w:val="auto"/>
          <w:spacing w:val="9"/>
          <w:sz w:val="24"/>
          <w:szCs w:val="24"/>
          <w:highlight w:val="none"/>
        </w:rPr>
        <w:t>合同一般条款</w:t>
      </w:r>
    </w:p>
    <w:p w14:paraId="7D155531">
      <w:pPr>
        <w:pStyle w:val="4"/>
        <w:spacing w:before="267" w:line="293" w:lineRule="exact"/>
        <w:ind w:left="469"/>
        <w:outlineLvl w:val="1"/>
        <w:rPr>
          <w:rFonts w:hint="eastAsia" w:ascii="仿宋" w:hAnsi="仿宋" w:eastAsia="仿宋" w:cs="仿宋"/>
          <w:color w:val="auto"/>
          <w:sz w:val="27"/>
          <w:szCs w:val="27"/>
          <w:highlight w:val="none"/>
        </w:rPr>
      </w:pPr>
      <w:r>
        <w:rPr>
          <w:rFonts w:hint="eastAsia" w:ascii="仿宋" w:hAnsi="仿宋" w:eastAsia="仿宋" w:cs="仿宋"/>
          <w:color w:val="auto"/>
          <w:spacing w:val="-11"/>
          <w:position w:val="-1"/>
          <w:sz w:val="27"/>
          <w:szCs w:val="27"/>
          <w:highlight w:val="none"/>
        </w:rPr>
        <w:t>2.1  定义</w:t>
      </w:r>
    </w:p>
    <w:p w14:paraId="2998AC7F">
      <w:pPr>
        <w:spacing w:before="287" w:line="227" w:lineRule="auto"/>
        <w:ind w:left="484"/>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本合同中的下列词语应按以下内容进行解释：</w:t>
      </w:r>
    </w:p>
    <w:p w14:paraId="136C94EE">
      <w:pPr>
        <w:spacing w:before="276" w:line="227" w:lineRule="auto"/>
        <w:jc w:val="right"/>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2.1.1</w:t>
      </w:r>
      <w:r>
        <w:rPr>
          <w:rFonts w:hint="eastAsia" w:ascii="仿宋" w:hAnsi="仿宋" w:eastAsia="仿宋" w:cs="仿宋"/>
          <w:color w:val="auto"/>
          <w:spacing w:val="-29"/>
          <w:sz w:val="23"/>
          <w:szCs w:val="23"/>
          <w:highlight w:val="none"/>
        </w:rPr>
        <w:t xml:space="preserve"> </w:t>
      </w:r>
      <w:r>
        <w:rPr>
          <w:rFonts w:hint="eastAsia" w:ascii="仿宋" w:hAnsi="仿宋" w:eastAsia="仿宋" w:cs="仿宋"/>
          <w:color w:val="auto"/>
          <w:spacing w:val="7"/>
          <w:sz w:val="23"/>
          <w:szCs w:val="23"/>
          <w:highlight w:val="none"/>
        </w:rPr>
        <w:t>“合同</w:t>
      </w:r>
      <w:r>
        <w:rPr>
          <w:rFonts w:hint="eastAsia" w:ascii="仿宋" w:hAnsi="仿宋" w:eastAsia="仿宋" w:cs="仿宋"/>
          <w:color w:val="auto"/>
          <w:spacing w:val="-52"/>
          <w:sz w:val="23"/>
          <w:szCs w:val="23"/>
          <w:highlight w:val="none"/>
        </w:rPr>
        <w:t xml:space="preserve"> </w:t>
      </w:r>
      <w:r>
        <w:rPr>
          <w:rFonts w:hint="eastAsia" w:ascii="仿宋" w:hAnsi="仿宋" w:eastAsia="仿宋" w:cs="仿宋"/>
          <w:color w:val="auto"/>
          <w:spacing w:val="7"/>
          <w:sz w:val="23"/>
          <w:szCs w:val="23"/>
          <w:highlight w:val="none"/>
        </w:rPr>
        <w:t>”系指采购人和中标供应商签订的载明双</w:t>
      </w:r>
      <w:r>
        <w:rPr>
          <w:rFonts w:hint="eastAsia" w:ascii="仿宋" w:hAnsi="仿宋" w:eastAsia="仿宋" w:cs="仿宋"/>
          <w:color w:val="auto"/>
          <w:spacing w:val="6"/>
          <w:sz w:val="23"/>
          <w:szCs w:val="23"/>
          <w:highlight w:val="none"/>
        </w:rPr>
        <w:t>方当事人所达成的协议，并</w:t>
      </w:r>
    </w:p>
    <w:p w14:paraId="234C0843">
      <w:pPr>
        <w:spacing w:before="279"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包括所有的附件、附录和构成合同的其他文件。</w:t>
      </w:r>
    </w:p>
    <w:p w14:paraId="669EEE01">
      <w:pPr>
        <w:spacing w:before="274" w:line="226" w:lineRule="auto"/>
        <w:ind w:right="2"/>
        <w:jc w:val="right"/>
        <w:outlineLvl w:val="1"/>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2.1.2</w:t>
      </w:r>
      <w:r>
        <w:rPr>
          <w:rFonts w:hint="eastAsia" w:ascii="仿宋" w:hAnsi="仿宋" w:eastAsia="仿宋" w:cs="仿宋"/>
          <w:color w:val="auto"/>
          <w:spacing w:val="-28"/>
          <w:sz w:val="23"/>
          <w:szCs w:val="23"/>
          <w:highlight w:val="none"/>
        </w:rPr>
        <w:t xml:space="preserve"> </w:t>
      </w:r>
      <w:r>
        <w:rPr>
          <w:rFonts w:hint="eastAsia" w:ascii="仿宋" w:hAnsi="仿宋" w:eastAsia="仿宋" w:cs="仿宋"/>
          <w:color w:val="auto"/>
          <w:sz w:val="23"/>
          <w:szCs w:val="23"/>
          <w:highlight w:val="none"/>
        </w:rPr>
        <w:t>“合同价</w:t>
      </w:r>
      <w:r>
        <w:rPr>
          <w:rFonts w:hint="eastAsia" w:ascii="仿宋" w:hAnsi="仿宋" w:eastAsia="仿宋" w:cs="仿宋"/>
          <w:color w:val="auto"/>
          <w:spacing w:val="-52"/>
          <w:sz w:val="23"/>
          <w:szCs w:val="23"/>
          <w:highlight w:val="none"/>
        </w:rPr>
        <w:t xml:space="preserve"> </w:t>
      </w:r>
      <w:r>
        <w:rPr>
          <w:rFonts w:hint="eastAsia" w:ascii="仿宋" w:hAnsi="仿宋" w:eastAsia="仿宋" w:cs="仿宋"/>
          <w:color w:val="auto"/>
          <w:sz w:val="23"/>
          <w:szCs w:val="23"/>
          <w:highlight w:val="none"/>
        </w:rPr>
        <w:t>”系指根据合同约定，</w:t>
      </w:r>
      <w:r>
        <w:rPr>
          <w:rFonts w:hint="eastAsia" w:ascii="仿宋" w:hAnsi="仿宋" w:eastAsia="仿宋" w:cs="仿宋"/>
          <w:color w:val="auto"/>
          <w:spacing w:val="40"/>
          <w:sz w:val="23"/>
          <w:szCs w:val="23"/>
          <w:highlight w:val="none"/>
        </w:rPr>
        <w:t xml:space="preserve"> </w:t>
      </w:r>
      <w:r>
        <w:rPr>
          <w:rFonts w:hint="eastAsia" w:ascii="仿宋" w:hAnsi="仿宋" w:eastAsia="仿宋" w:cs="仿宋"/>
          <w:color w:val="auto"/>
          <w:sz w:val="23"/>
          <w:szCs w:val="23"/>
          <w:highlight w:val="none"/>
        </w:rPr>
        <w:t>中标供应</w:t>
      </w:r>
      <w:r>
        <w:rPr>
          <w:rFonts w:hint="eastAsia" w:ascii="仿宋" w:hAnsi="仿宋" w:eastAsia="仿宋" w:cs="仿宋"/>
          <w:color w:val="auto"/>
          <w:spacing w:val="-1"/>
          <w:sz w:val="23"/>
          <w:szCs w:val="23"/>
          <w:highlight w:val="none"/>
        </w:rPr>
        <w:t>商在完全履行合同义务后， 采购人</w:t>
      </w:r>
    </w:p>
    <w:p w14:paraId="7CB1C313">
      <w:pPr>
        <w:spacing w:before="278" w:line="226"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应支付给中标供应商的价格。</w:t>
      </w:r>
    </w:p>
    <w:p w14:paraId="73D0DFE8">
      <w:pPr>
        <w:spacing w:before="279" w:line="227" w:lineRule="auto"/>
        <w:ind w:right="2"/>
        <w:jc w:val="right"/>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2.1.3</w:t>
      </w:r>
      <w:r>
        <w:rPr>
          <w:rFonts w:hint="eastAsia" w:ascii="仿宋" w:hAnsi="仿宋" w:eastAsia="仿宋" w:cs="仿宋"/>
          <w:color w:val="auto"/>
          <w:spacing w:val="-29"/>
          <w:sz w:val="23"/>
          <w:szCs w:val="23"/>
          <w:highlight w:val="none"/>
        </w:rPr>
        <w:t xml:space="preserve"> </w:t>
      </w:r>
      <w:r>
        <w:rPr>
          <w:rFonts w:hint="eastAsia" w:ascii="仿宋" w:hAnsi="仿宋" w:eastAsia="仿宋" w:cs="仿宋"/>
          <w:color w:val="auto"/>
          <w:spacing w:val="7"/>
          <w:sz w:val="23"/>
          <w:szCs w:val="23"/>
          <w:highlight w:val="none"/>
        </w:rPr>
        <w:t>“服务</w:t>
      </w:r>
      <w:r>
        <w:rPr>
          <w:rFonts w:hint="eastAsia" w:ascii="仿宋" w:hAnsi="仿宋" w:eastAsia="仿宋" w:cs="仿宋"/>
          <w:color w:val="auto"/>
          <w:spacing w:val="-52"/>
          <w:sz w:val="23"/>
          <w:szCs w:val="23"/>
          <w:highlight w:val="none"/>
        </w:rPr>
        <w:t xml:space="preserve"> </w:t>
      </w:r>
      <w:r>
        <w:rPr>
          <w:rFonts w:hint="eastAsia" w:ascii="仿宋" w:hAnsi="仿宋" w:eastAsia="仿宋" w:cs="仿宋"/>
          <w:color w:val="auto"/>
          <w:spacing w:val="7"/>
          <w:sz w:val="23"/>
          <w:szCs w:val="23"/>
          <w:highlight w:val="none"/>
        </w:rPr>
        <w:t>”系指中标供应商根据合同约定应向采购</w:t>
      </w:r>
      <w:r>
        <w:rPr>
          <w:rFonts w:hint="eastAsia" w:ascii="仿宋" w:hAnsi="仿宋" w:eastAsia="仿宋" w:cs="仿宋"/>
          <w:color w:val="auto"/>
          <w:spacing w:val="6"/>
          <w:sz w:val="23"/>
          <w:szCs w:val="23"/>
          <w:highlight w:val="none"/>
        </w:rPr>
        <w:t>人履行的除货物和工程以外</w:t>
      </w:r>
    </w:p>
    <w:p w14:paraId="4BD3BD8F">
      <w:pPr>
        <w:spacing w:before="277" w:line="227" w:lineRule="auto"/>
        <w:ind w:left="39"/>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的其他政府采购对象，包括采购人自身需要的服务和向社会公众提供的公共服</w:t>
      </w:r>
      <w:r>
        <w:rPr>
          <w:rFonts w:hint="eastAsia" w:ascii="仿宋" w:hAnsi="仿宋" w:eastAsia="仿宋" w:cs="仿宋"/>
          <w:color w:val="auto"/>
          <w:spacing w:val="7"/>
          <w:sz w:val="23"/>
          <w:szCs w:val="23"/>
          <w:highlight w:val="none"/>
        </w:rPr>
        <w:t>务。</w:t>
      </w:r>
    </w:p>
    <w:p w14:paraId="647B4D40">
      <w:pPr>
        <w:spacing w:before="274" w:line="227" w:lineRule="auto"/>
        <w:jc w:val="right"/>
        <w:outlineLvl w:val="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2.1.4</w:t>
      </w:r>
      <w:r>
        <w:rPr>
          <w:rFonts w:hint="eastAsia" w:ascii="仿宋" w:hAnsi="仿宋" w:eastAsia="仿宋" w:cs="仿宋"/>
          <w:color w:val="auto"/>
          <w:spacing w:val="-33"/>
          <w:sz w:val="23"/>
          <w:szCs w:val="23"/>
          <w:highlight w:val="none"/>
        </w:rPr>
        <w:t xml:space="preserve"> </w:t>
      </w:r>
      <w:r>
        <w:rPr>
          <w:rFonts w:hint="eastAsia" w:ascii="仿宋" w:hAnsi="仿宋" w:eastAsia="仿宋" w:cs="仿宋"/>
          <w:color w:val="auto"/>
          <w:spacing w:val="2"/>
          <w:sz w:val="23"/>
          <w:szCs w:val="23"/>
          <w:highlight w:val="none"/>
        </w:rPr>
        <w:t>“</w:t>
      </w:r>
      <w:r>
        <w:rPr>
          <w:rFonts w:hint="eastAsia" w:ascii="仿宋" w:hAnsi="仿宋" w:eastAsia="仿宋" w:cs="仿宋"/>
          <w:color w:val="auto"/>
          <w:spacing w:val="-34"/>
          <w:sz w:val="23"/>
          <w:szCs w:val="23"/>
          <w:highlight w:val="none"/>
        </w:rPr>
        <w:t xml:space="preserve"> </w:t>
      </w:r>
      <w:r>
        <w:rPr>
          <w:rFonts w:hint="eastAsia" w:ascii="仿宋" w:hAnsi="仿宋" w:eastAsia="仿宋" w:cs="仿宋"/>
          <w:color w:val="auto"/>
          <w:spacing w:val="2"/>
          <w:sz w:val="23"/>
          <w:szCs w:val="23"/>
          <w:highlight w:val="none"/>
        </w:rPr>
        <w:t>甲方</w:t>
      </w:r>
      <w:r>
        <w:rPr>
          <w:rFonts w:hint="eastAsia" w:ascii="仿宋" w:hAnsi="仿宋" w:eastAsia="仿宋" w:cs="仿宋"/>
          <w:color w:val="auto"/>
          <w:spacing w:val="-54"/>
          <w:sz w:val="23"/>
          <w:szCs w:val="23"/>
          <w:highlight w:val="none"/>
        </w:rPr>
        <w:t xml:space="preserve"> </w:t>
      </w:r>
      <w:r>
        <w:rPr>
          <w:rFonts w:hint="eastAsia" w:ascii="仿宋" w:hAnsi="仿宋" w:eastAsia="仿宋" w:cs="仿宋"/>
          <w:color w:val="auto"/>
          <w:spacing w:val="2"/>
          <w:sz w:val="23"/>
          <w:szCs w:val="23"/>
          <w:highlight w:val="none"/>
        </w:rPr>
        <w:t>”系指与中标供应商签署合同的采购人；采</w:t>
      </w:r>
      <w:r>
        <w:rPr>
          <w:rFonts w:hint="eastAsia" w:ascii="仿宋" w:hAnsi="仿宋" w:eastAsia="仿宋" w:cs="仿宋"/>
          <w:color w:val="auto"/>
          <w:spacing w:val="1"/>
          <w:sz w:val="23"/>
          <w:szCs w:val="23"/>
          <w:highlight w:val="none"/>
        </w:rPr>
        <w:t>购人委托采购代理机构代</w:t>
      </w:r>
    </w:p>
    <w:p w14:paraId="4F0EFA15">
      <w:pPr>
        <w:spacing w:before="278"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表其与乙方签订合同的，采购人的授权委托书作为合同附件。</w:t>
      </w:r>
    </w:p>
    <w:p w14:paraId="43B3FB97">
      <w:pPr>
        <w:spacing w:before="277" w:line="227" w:lineRule="auto"/>
        <w:ind w:right="2"/>
        <w:jc w:val="right"/>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2.1.5</w:t>
      </w:r>
      <w:r>
        <w:rPr>
          <w:rFonts w:hint="eastAsia" w:ascii="仿宋" w:hAnsi="仿宋" w:eastAsia="仿宋" w:cs="仿宋"/>
          <w:color w:val="auto"/>
          <w:spacing w:val="-26"/>
          <w:sz w:val="23"/>
          <w:szCs w:val="23"/>
          <w:highlight w:val="none"/>
        </w:rPr>
        <w:t xml:space="preserve"> </w:t>
      </w:r>
      <w:r>
        <w:rPr>
          <w:rFonts w:hint="eastAsia" w:ascii="仿宋" w:hAnsi="仿宋" w:eastAsia="仿宋" w:cs="仿宋"/>
          <w:color w:val="auto"/>
          <w:spacing w:val="5"/>
          <w:sz w:val="23"/>
          <w:szCs w:val="23"/>
          <w:highlight w:val="none"/>
        </w:rPr>
        <w:t>“</w:t>
      </w:r>
      <w:r>
        <w:rPr>
          <w:rFonts w:hint="eastAsia" w:ascii="仿宋" w:hAnsi="仿宋" w:eastAsia="仿宋" w:cs="仿宋"/>
          <w:color w:val="auto"/>
          <w:spacing w:val="-51"/>
          <w:sz w:val="23"/>
          <w:szCs w:val="23"/>
          <w:highlight w:val="none"/>
        </w:rPr>
        <w:t xml:space="preserve"> </w:t>
      </w:r>
      <w:r>
        <w:rPr>
          <w:rFonts w:hint="eastAsia" w:ascii="仿宋" w:hAnsi="仿宋" w:eastAsia="仿宋" w:cs="仿宋"/>
          <w:color w:val="auto"/>
          <w:spacing w:val="5"/>
          <w:sz w:val="23"/>
          <w:szCs w:val="23"/>
          <w:highlight w:val="none"/>
        </w:rPr>
        <w:t>乙方</w:t>
      </w:r>
      <w:r>
        <w:rPr>
          <w:rFonts w:hint="eastAsia" w:ascii="仿宋" w:hAnsi="仿宋" w:eastAsia="仿宋" w:cs="仿宋"/>
          <w:color w:val="auto"/>
          <w:spacing w:val="-54"/>
          <w:sz w:val="23"/>
          <w:szCs w:val="23"/>
          <w:highlight w:val="none"/>
        </w:rPr>
        <w:t xml:space="preserve"> </w:t>
      </w:r>
      <w:r>
        <w:rPr>
          <w:rFonts w:hint="eastAsia" w:ascii="仿宋" w:hAnsi="仿宋" w:eastAsia="仿宋" w:cs="仿宋"/>
          <w:color w:val="auto"/>
          <w:spacing w:val="5"/>
          <w:sz w:val="23"/>
          <w:szCs w:val="23"/>
          <w:highlight w:val="none"/>
        </w:rPr>
        <w:t>”系指根据合同约定提供服务的中标供应商；两个以上的自然人、法</w:t>
      </w:r>
    </w:p>
    <w:p w14:paraId="49954E1A">
      <w:pPr>
        <w:spacing w:before="296" w:line="441" w:lineRule="auto"/>
        <w:ind w:left="4" w:right="2"/>
        <w:jc w:val="both"/>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人或者其他组织组成一个联合体，以一个供应商的身份共同参加政府采购的，联合体各</w:t>
      </w:r>
      <w:r>
        <w:rPr>
          <w:rFonts w:hint="eastAsia" w:ascii="仿宋" w:hAnsi="仿宋" w:eastAsia="仿宋" w:cs="仿宋"/>
          <w:color w:val="auto"/>
          <w:spacing w:val="8"/>
          <w:sz w:val="23"/>
          <w:szCs w:val="23"/>
          <w:highlight w:val="none"/>
        </w:rPr>
        <w:t>方均应为乙方或者与乙方相同地位的合同当事人，并就合同约定的事项对甲方承担连带</w:t>
      </w:r>
      <w:r>
        <w:rPr>
          <w:rFonts w:hint="eastAsia" w:ascii="仿宋" w:hAnsi="仿宋" w:eastAsia="仿宋" w:cs="仿宋"/>
          <w:color w:val="auto"/>
          <w:spacing w:val="-2"/>
          <w:sz w:val="23"/>
          <w:szCs w:val="23"/>
          <w:highlight w:val="none"/>
        </w:rPr>
        <w:t>责任。</w:t>
      </w:r>
    </w:p>
    <w:p w14:paraId="1CE30AFF">
      <w:pPr>
        <w:spacing w:before="273" w:line="227" w:lineRule="auto"/>
        <w:ind w:left="486" w:firstLine="476" w:firstLineChars="20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2.1.6 “现场</w:t>
      </w:r>
      <w:r>
        <w:rPr>
          <w:rFonts w:hint="eastAsia" w:ascii="仿宋" w:hAnsi="仿宋" w:eastAsia="仿宋" w:cs="仿宋"/>
          <w:color w:val="auto"/>
          <w:spacing w:val="-34"/>
          <w:sz w:val="23"/>
          <w:szCs w:val="23"/>
          <w:highlight w:val="none"/>
        </w:rPr>
        <w:t xml:space="preserve"> </w:t>
      </w:r>
      <w:r>
        <w:rPr>
          <w:rFonts w:hint="eastAsia" w:ascii="仿宋" w:hAnsi="仿宋" w:eastAsia="仿宋" w:cs="仿宋"/>
          <w:color w:val="auto"/>
          <w:spacing w:val="4"/>
          <w:sz w:val="23"/>
          <w:szCs w:val="23"/>
          <w:highlight w:val="none"/>
        </w:rPr>
        <w:t>”系指合同约定提供服务的地点。</w:t>
      </w:r>
    </w:p>
    <w:p w14:paraId="0750051D">
      <w:pPr>
        <w:pStyle w:val="4"/>
        <w:spacing w:before="252" w:line="165" w:lineRule="auto"/>
        <w:ind w:left="470"/>
        <w:outlineLvl w:val="1"/>
        <w:rPr>
          <w:rFonts w:hint="eastAsia" w:ascii="仿宋" w:hAnsi="仿宋" w:eastAsia="仿宋" w:cs="仿宋"/>
          <w:color w:val="auto"/>
          <w:sz w:val="25"/>
          <w:szCs w:val="25"/>
          <w:highlight w:val="none"/>
        </w:rPr>
      </w:pPr>
      <w:r>
        <w:rPr>
          <w:rFonts w:hint="eastAsia" w:ascii="仿宋" w:hAnsi="仿宋" w:eastAsia="仿宋" w:cs="仿宋"/>
          <w:color w:val="auto"/>
          <w:sz w:val="25"/>
          <w:szCs w:val="25"/>
          <w:highlight w:val="none"/>
        </w:rPr>
        <w:t>2.2</w:t>
      </w:r>
      <w:r>
        <w:rPr>
          <w:rFonts w:hint="eastAsia" w:ascii="仿宋" w:hAnsi="仿宋" w:eastAsia="仿宋" w:cs="仿宋"/>
          <w:color w:val="auto"/>
          <w:spacing w:val="57"/>
          <w:sz w:val="25"/>
          <w:szCs w:val="25"/>
          <w:highlight w:val="none"/>
        </w:rPr>
        <w:t xml:space="preserve"> </w:t>
      </w:r>
      <w:r>
        <w:rPr>
          <w:rFonts w:hint="eastAsia" w:ascii="仿宋" w:hAnsi="仿宋" w:eastAsia="仿宋" w:cs="仿宋"/>
          <w:color w:val="auto"/>
          <w:sz w:val="25"/>
          <w:szCs w:val="25"/>
          <w:highlight w:val="none"/>
        </w:rPr>
        <w:t>技术规范</w:t>
      </w:r>
    </w:p>
    <w:p w14:paraId="47F3FFA7">
      <w:pPr>
        <w:spacing w:before="288" w:line="227" w:lineRule="auto"/>
        <w:ind w:left="48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服务所应遵守的技术规范应与采购文件规定的技术规范和技术规范附件(如果有的</w:t>
      </w:r>
    </w:p>
    <w:p w14:paraId="02A44EFA">
      <w:pPr>
        <w:spacing w:before="268" w:line="571" w:lineRule="exact"/>
        <w:rPr>
          <w:rFonts w:hint="eastAsia" w:ascii="仿宋" w:hAnsi="仿宋" w:eastAsia="仿宋" w:cs="仿宋"/>
          <w:color w:val="auto"/>
          <w:sz w:val="23"/>
          <w:szCs w:val="23"/>
          <w:highlight w:val="none"/>
        </w:rPr>
      </w:pPr>
      <w:r>
        <w:rPr>
          <w:rFonts w:hint="eastAsia" w:ascii="仿宋" w:hAnsi="仿宋" w:eastAsia="仿宋" w:cs="仿宋"/>
          <w:color w:val="auto"/>
          <w:spacing w:val="9"/>
          <w:position w:val="25"/>
          <w:sz w:val="23"/>
          <w:szCs w:val="23"/>
          <w:highlight w:val="none"/>
        </w:rPr>
        <w:t>话)及其技术规范偏差表(如果被甲方接受的话)相一致；如果采购文件中没有技术规范</w:t>
      </w:r>
    </w:p>
    <w:p w14:paraId="21542F1C">
      <w:pPr>
        <w:spacing w:before="1" w:line="226" w:lineRule="auto"/>
        <w:ind w:left="39"/>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的相应说明， 那么应以国家有关部门最新颁布的相应标准和规范</w:t>
      </w:r>
      <w:r>
        <w:rPr>
          <w:rFonts w:hint="eastAsia" w:ascii="仿宋" w:hAnsi="仿宋" w:eastAsia="仿宋" w:cs="仿宋"/>
          <w:color w:val="auto"/>
          <w:spacing w:val="3"/>
          <w:sz w:val="23"/>
          <w:szCs w:val="23"/>
          <w:highlight w:val="none"/>
        </w:rPr>
        <w:t>为准。</w:t>
      </w:r>
    </w:p>
    <w:p w14:paraId="3D1D04A6">
      <w:pPr>
        <w:pStyle w:val="4"/>
        <w:spacing w:before="249" w:line="165" w:lineRule="auto"/>
        <w:ind w:left="470"/>
        <w:outlineLvl w:val="1"/>
        <w:rPr>
          <w:rFonts w:hint="eastAsia" w:ascii="仿宋" w:hAnsi="仿宋" w:eastAsia="仿宋" w:cs="仿宋"/>
          <w:color w:val="auto"/>
          <w:sz w:val="25"/>
          <w:szCs w:val="25"/>
          <w:highlight w:val="none"/>
        </w:rPr>
      </w:pPr>
      <w:r>
        <w:rPr>
          <w:rFonts w:hint="eastAsia" w:ascii="仿宋" w:hAnsi="仿宋" w:eastAsia="仿宋" w:cs="仿宋"/>
          <w:color w:val="auto"/>
          <w:spacing w:val="1"/>
          <w:sz w:val="25"/>
          <w:szCs w:val="25"/>
          <w:highlight w:val="none"/>
        </w:rPr>
        <w:t>2.3</w:t>
      </w:r>
      <w:r>
        <w:rPr>
          <w:rFonts w:hint="eastAsia" w:ascii="仿宋" w:hAnsi="仿宋" w:eastAsia="仿宋" w:cs="仿宋"/>
          <w:color w:val="auto"/>
          <w:spacing w:val="56"/>
          <w:sz w:val="25"/>
          <w:szCs w:val="25"/>
          <w:highlight w:val="none"/>
        </w:rPr>
        <w:t xml:space="preserve"> </w:t>
      </w:r>
      <w:r>
        <w:rPr>
          <w:rFonts w:hint="eastAsia" w:ascii="仿宋" w:hAnsi="仿宋" w:eastAsia="仿宋" w:cs="仿宋"/>
          <w:color w:val="auto"/>
          <w:spacing w:val="1"/>
          <w:sz w:val="25"/>
          <w:szCs w:val="25"/>
          <w:highlight w:val="none"/>
        </w:rPr>
        <w:t>知识产权</w:t>
      </w:r>
    </w:p>
    <w:p w14:paraId="315F3DA5">
      <w:pPr>
        <w:spacing w:before="289" w:line="227" w:lineRule="auto"/>
        <w:ind w:right="2"/>
        <w:jc w:val="right"/>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2.3.1</w:t>
      </w:r>
      <w:r>
        <w:rPr>
          <w:rFonts w:hint="eastAsia" w:ascii="仿宋" w:hAnsi="仿宋" w:eastAsia="仿宋" w:cs="仿宋"/>
          <w:color w:val="auto"/>
          <w:spacing w:val="69"/>
          <w:sz w:val="23"/>
          <w:szCs w:val="23"/>
          <w:highlight w:val="none"/>
        </w:rPr>
        <w:t xml:space="preserve"> </w:t>
      </w:r>
      <w:r>
        <w:rPr>
          <w:rFonts w:hint="eastAsia" w:ascii="仿宋" w:hAnsi="仿宋" w:eastAsia="仿宋" w:cs="仿宋"/>
          <w:color w:val="auto"/>
          <w:spacing w:val="6"/>
          <w:sz w:val="23"/>
          <w:szCs w:val="23"/>
          <w:highlight w:val="none"/>
        </w:rPr>
        <w:t>乙方应保证其提供的服务不受任何第三方提出的侵犯其</w:t>
      </w:r>
      <w:r>
        <w:rPr>
          <w:rFonts w:hint="eastAsia" w:ascii="仿宋" w:hAnsi="仿宋" w:eastAsia="仿宋" w:cs="仿宋"/>
          <w:color w:val="auto"/>
          <w:spacing w:val="5"/>
          <w:sz w:val="23"/>
          <w:szCs w:val="23"/>
          <w:highlight w:val="none"/>
        </w:rPr>
        <w:t>著作权、商标权、专</w:t>
      </w:r>
    </w:p>
    <w:p w14:paraId="679F5B71">
      <w:pPr>
        <w:spacing w:before="267" w:line="571" w:lineRule="exact"/>
        <w:ind w:left="6"/>
        <w:rPr>
          <w:rFonts w:hint="eastAsia" w:ascii="仿宋" w:hAnsi="仿宋" w:eastAsia="仿宋" w:cs="仿宋"/>
          <w:color w:val="auto"/>
          <w:sz w:val="23"/>
          <w:szCs w:val="23"/>
          <w:highlight w:val="none"/>
        </w:rPr>
      </w:pPr>
      <w:r>
        <w:rPr>
          <w:rFonts w:hint="eastAsia" w:ascii="仿宋" w:hAnsi="仿宋" w:eastAsia="仿宋" w:cs="仿宋"/>
          <w:color w:val="auto"/>
          <w:spacing w:val="8"/>
          <w:position w:val="25"/>
          <w:sz w:val="23"/>
          <w:szCs w:val="23"/>
          <w:highlight w:val="none"/>
        </w:rPr>
        <w:t>利权等知识产权方面的起诉；如果任何第三方提出侵权指控，那么乙方须与该第三方交</w:t>
      </w:r>
    </w:p>
    <w:p w14:paraId="4A94C8C6">
      <w:pPr>
        <w:spacing w:before="1" w:line="227" w:lineRule="auto"/>
        <w:ind w:left="5"/>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涉并承担由此发生的一切责任、费用和赔偿；</w:t>
      </w:r>
    </w:p>
    <w:p w14:paraId="5C6F88D7">
      <w:pPr>
        <w:spacing w:before="248" w:line="225" w:lineRule="auto"/>
        <w:ind w:left="486" w:firstLine="504" w:firstLineChars="200"/>
        <w:outlineLvl w:val="1"/>
        <w:rPr>
          <w:rFonts w:hint="eastAsia" w:ascii="仿宋" w:hAnsi="仿宋" w:eastAsia="仿宋" w:cs="仿宋"/>
          <w:color w:val="auto"/>
          <w:sz w:val="23"/>
          <w:szCs w:val="23"/>
          <w:highlight w:val="none"/>
        </w:rPr>
        <w:sectPr>
          <w:footerReference r:id="rId22"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11"/>
          <w:sz w:val="23"/>
          <w:szCs w:val="23"/>
          <w:highlight w:val="none"/>
        </w:rPr>
        <w:t>2.3.2 合同涉及技术成果的归属和收益的分成办法的，详见合同专用条款。</w:t>
      </w:r>
    </w:p>
    <w:p w14:paraId="5A6FA6D3">
      <w:pPr>
        <w:pStyle w:val="4"/>
        <w:spacing w:line="283" w:lineRule="auto"/>
        <w:rPr>
          <w:rFonts w:hint="eastAsia" w:ascii="仿宋" w:hAnsi="仿宋" w:eastAsia="仿宋" w:cs="仿宋"/>
          <w:color w:val="auto"/>
          <w:highlight w:val="none"/>
        </w:rPr>
      </w:pPr>
    </w:p>
    <w:p w14:paraId="6A5F6461">
      <w:pPr>
        <w:spacing w:before="107" w:line="165" w:lineRule="auto"/>
        <w:ind w:left="466"/>
        <w:outlineLvl w:val="1"/>
        <w:rPr>
          <w:rFonts w:hint="eastAsia" w:ascii="仿宋" w:hAnsi="仿宋" w:eastAsia="仿宋" w:cs="仿宋"/>
          <w:color w:val="auto"/>
          <w:sz w:val="25"/>
          <w:szCs w:val="25"/>
          <w:highlight w:val="none"/>
        </w:rPr>
      </w:pPr>
      <w:r>
        <w:rPr>
          <w:rFonts w:hint="eastAsia" w:ascii="仿宋" w:hAnsi="仿宋" w:eastAsia="仿宋" w:cs="仿宋"/>
          <w:color w:val="auto"/>
          <w:spacing w:val="7"/>
          <w:sz w:val="25"/>
          <w:szCs w:val="25"/>
          <w:highlight w:val="none"/>
        </w:rPr>
        <w:t>2.4履约检查和问题反馈</w:t>
      </w:r>
    </w:p>
    <w:p w14:paraId="2CA87DEF">
      <w:pPr>
        <w:spacing w:before="291" w:line="227" w:lineRule="auto"/>
        <w:ind w:left="48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2.4.1甲方有权在其认为必要时，对乙方是否能够按</w:t>
      </w:r>
      <w:r>
        <w:rPr>
          <w:rFonts w:hint="eastAsia" w:ascii="仿宋" w:hAnsi="仿宋" w:eastAsia="仿宋" w:cs="仿宋"/>
          <w:color w:val="auto"/>
          <w:spacing w:val="8"/>
          <w:sz w:val="23"/>
          <w:szCs w:val="23"/>
          <w:highlight w:val="none"/>
        </w:rPr>
        <w:t>照合同约定提供服务进行履约</w:t>
      </w:r>
    </w:p>
    <w:p w14:paraId="57772208">
      <w:pPr>
        <w:spacing w:before="262" w:line="574" w:lineRule="exact"/>
        <w:rPr>
          <w:rFonts w:hint="eastAsia" w:ascii="仿宋" w:hAnsi="仿宋" w:eastAsia="仿宋" w:cs="仿宋"/>
          <w:color w:val="auto"/>
          <w:sz w:val="23"/>
          <w:szCs w:val="23"/>
          <w:highlight w:val="none"/>
        </w:rPr>
      </w:pPr>
      <w:r>
        <w:rPr>
          <w:rFonts w:hint="eastAsia" w:ascii="仿宋" w:hAnsi="仿宋" w:eastAsia="仿宋" w:cs="仿宋"/>
          <w:color w:val="auto"/>
          <w:spacing w:val="8"/>
          <w:position w:val="26"/>
          <w:sz w:val="23"/>
          <w:szCs w:val="23"/>
          <w:highlight w:val="none"/>
        </w:rPr>
        <w:t>检查，以确保乙方所提供的服务能够依约满足甲方之项目需求，但不得因履约检查妨碍</w:t>
      </w:r>
    </w:p>
    <w:p w14:paraId="5ABBDB72">
      <w:pPr>
        <w:spacing w:line="228" w:lineRule="auto"/>
        <w:ind w:left="45"/>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乙方的正常工作，乙方应予积极配合；</w:t>
      </w:r>
    </w:p>
    <w:p w14:paraId="37A124BD">
      <w:pPr>
        <w:spacing w:before="275" w:line="227" w:lineRule="auto"/>
        <w:ind w:right="13"/>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2.4.2 合同履行期间，甲方有权将履行过程中出现的问题反馈给乙方，双方当事人</w:t>
      </w:r>
    </w:p>
    <w:p w14:paraId="459170D2">
      <w:pPr>
        <w:spacing w:before="273"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应以书面形式约定需要完善和改进的内容。</w:t>
      </w:r>
    </w:p>
    <w:p w14:paraId="021C56E9">
      <w:pPr>
        <w:spacing w:before="250" w:line="166" w:lineRule="auto"/>
        <w:ind w:left="466"/>
        <w:outlineLvl w:val="1"/>
        <w:rPr>
          <w:rFonts w:hint="eastAsia" w:ascii="仿宋" w:hAnsi="仿宋" w:eastAsia="仿宋" w:cs="仿宋"/>
          <w:color w:val="auto"/>
          <w:sz w:val="25"/>
          <w:szCs w:val="25"/>
          <w:highlight w:val="none"/>
        </w:rPr>
      </w:pPr>
      <w:r>
        <w:rPr>
          <w:rFonts w:hint="eastAsia" w:ascii="仿宋" w:hAnsi="仿宋" w:eastAsia="仿宋" w:cs="仿宋"/>
          <w:color w:val="auto"/>
          <w:spacing w:val="7"/>
          <w:sz w:val="25"/>
          <w:szCs w:val="25"/>
          <w:highlight w:val="none"/>
        </w:rPr>
        <w:t>2.5结算方式和付款条件</w:t>
      </w:r>
    </w:p>
    <w:p w14:paraId="1B42526C">
      <w:pPr>
        <w:spacing w:before="265" w:line="207" w:lineRule="auto"/>
        <w:ind w:left="48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16"/>
          <w:sz w:val="23"/>
          <w:szCs w:val="23"/>
          <w:highlight w:val="none"/>
        </w:rPr>
        <w:t>详</w:t>
      </w:r>
      <w:r>
        <w:rPr>
          <w:rFonts w:hint="eastAsia" w:ascii="仿宋" w:hAnsi="仿宋" w:eastAsia="仿宋" w:cs="仿宋"/>
          <w:color w:val="auto"/>
          <w:spacing w:val="7"/>
          <w:sz w:val="23"/>
          <w:szCs w:val="23"/>
          <w:highlight w:val="none"/>
        </w:rPr>
        <w:t>见合同专用条款</w:t>
      </w:r>
      <w:r>
        <w:rPr>
          <w:rFonts w:hint="eastAsia" w:ascii="仿宋" w:hAnsi="仿宋" w:eastAsia="仿宋" w:cs="仿宋"/>
          <w:color w:val="auto"/>
          <w:spacing w:val="16"/>
          <w:position w:val="-6"/>
          <w:sz w:val="23"/>
          <w:szCs w:val="23"/>
          <w:highlight w:val="none"/>
        </w:rPr>
        <w:t>。</w:t>
      </w:r>
    </w:p>
    <w:p w14:paraId="6EE76574">
      <w:pPr>
        <w:pStyle w:val="4"/>
        <w:spacing w:before="196" w:line="166" w:lineRule="auto"/>
        <w:ind w:left="466"/>
        <w:outlineLvl w:val="1"/>
        <w:rPr>
          <w:rFonts w:hint="eastAsia" w:ascii="仿宋" w:hAnsi="仿宋" w:eastAsia="仿宋" w:cs="仿宋"/>
          <w:color w:val="auto"/>
          <w:sz w:val="25"/>
          <w:szCs w:val="25"/>
          <w:highlight w:val="none"/>
        </w:rPr>
      </w:pPr>
      <w:r>
        <w:rPr>
          <w:rFonts w:hint="eastAsia" w:ascii="仿宋" w:hAnsi="仿宋" w:eastAsia="仿宋" w:cs="仿宋"/>
          <w:color w:val="auto"/>
          <w:spacing w:val="1"/>
          <w:sz w:val="25"/>
          <w:szCs w:val="25"/>
          <w:highlight w:val="none"/>
        </w:rPr>
        <w:t>2.6</w:t>
      </w:r>
      <w:r>
        <w:rPr>
          <w:rFonts w:hint="eastAsia" w:ascii="仿宋" w:hAnsi="仿宋" w:eastAsia="仿宋" w:cs="仿宋"/>
          <w:color w:val="auto"/>
          <w:spacing w:val="21"/>
          <w:w w:val="101"/>
          <w:sz w:val="25"/>
          <w:szCs w:val="25"/>
          <w:highlight w:val="none"/>
        </w:rPr>
        <w:t xml:space="preserve"> </w:t>
      </w:r>
      <w:r>
        <w:rPr>
          <w:rFonts w:hint="eastAsia" w:ascii="仿宋" w:hAnsi="仿宋" w:eastAsia="仿宋" w:cs="仿宋"/>
          <w:color w:val="auto"/>
          <w:spacing w:val="1"/>
          <w:sz w:val="25"/>
          <w:szCs w:val="25"/>
          <w:highlight w:val="none"/>
        </w:rPr>
        <w:t>技术资料和保密义务</w:t>
      </w:r>
    </w:p>
    <w:p w14:paraId="006389F5">
      <w:pPr>
        <w:spacing w:before="290"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2.6.1</w:t>
      </w:r>
      <w:r>
        <w:rPr>
          <w:rFonts w:hint="eastAsia" w:ascii="仿宋" w:hAnsi="仿宋" w:eastAsia="仿宋" w:cs="仿宋"/>
          <w:color w:val="auto"/>
          <w:spacing w:val="67"/>
          <w:sz w:val="23"/>
          <w:szCs w:val="23"/>
          <w:highlight w:val="none"/>
        </w:rPr>
        <w:t xml:space="preserve"> </w:t>
      </w:r>
      <w:r>
        <w:rPr>
          <w:rFonts w:hint="eastAsia" w:ascii="仿宋" w:hAnsi="仿宋" w:eastAsia="仿宋" w:cs="仿宋"/>
          <w:color w:val="auto"/>
          <w:sz w:val="23"/>
          <w:szCs w:val="23"/>
          <w:highlight w:val="none"/>
        </w:rPr>
        <w:t>乙方有权依据合同约定和项目需要，向甲方了解有关情况，调阅有关资料等，</w:t>
      </w:r>
    </w:p>
    <w:p w14:paraId="509B2A36">
      <w:pPr>
        <w:spacing w:before="279" w:line="228" w:lineRule="auto"/>
        <w:ind w:left="59"/>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甲方应予积极配合；</w:t>
      </w:r>
    </w:p>
    <w:p w14:paraId="0829E26D">
      <w:pPr>
        <w:spacing w:before="272" w:line="227" w:lineRule="auto"/>
        <w:ind w:left="482"/>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2.6.2</w:t>
      </w:r>
      <w:r>
        <w:rPr>
          <w:rFonts w:hint="eastAsia" w:ascii="仿宋" w:hAnsi="仿宋" w:eastAsia="仿宋" w:cs="仿宋"/>
          <w:color w:val="auto"/>
          <w:spacing w:val="106"/>
          <w:sz w:val="23"/>
          <w:szCs w:val="23"/>
          <w:highlight w:val="none"/>
        </w:rPr>
        <w:t xml:space="preserve"> </w:t>
      </w:r>
      <w:r>
        <w:rPr>
          <w:rFonts w:hint="eastAsia" w:ascii="仿宋" w:hAnsi="仿宋" w:eastAsia="仿宋" w:cs="仿宋"/>
          <w:color w:val="auto"/>
          <w:spacing w:val="5"/>
          <w:sz w:val="23"/>
          <w:szCs w:val="23"/>
          <w:highlight w:val="none"/>
        </w:rPr>
        <w:t>乙方有义务妥善保管和保护由甲方提供的前款信息和资料等；</w:t>
      </w:r>
    </w:p>
    <w:p w14:paraId="3949B210">
      <w:pPr>
        <w:spacing w:before="277" w:line="227" w:lineRule="auto"/>
        <w:ind w:right="13"/>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2.6.3 除非依照法律规定或者对方当事人的书面同意，任何一方均应保证不向任何</w:t>
      </w:r>
    </w:p>
    <w:p w14:paraId="26790918">
      <w:pPr>
        <w:spacing w:before="301" w:line="438" w:lineRule="auto"/>
        <w:ind w:left="18" w:right="20" w:hanging="19"/>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第三方提供或披露有关合同的或者履行合同过程中知悉的对方当事人任何未公开的信</w:t>
      </w:r>
      <w:r>
        <w:rPr>
          <w:rFonts w:hint="eastAsia" w:ascii="仿宋" w:hAnsi="仿宋" w:eastAsia="仿宋" w:cs="仿宋"/>
          <w:color w:val="auto"/>
          <w:spacing w:val="4"/>
          <w:sz w:val="23"/>
          <w:szCs w:val="23"/>
          <w:highlight w:val="none"/>
        </w:rPr>
        <w:t>息和资料， 包括但不限于技术情报、技术资料、商业秘密和商业信息等，并采取一切合</w:t>
      </w:r>
    </w:p>
    <w:p w14:paraId="58A7547B">
      <w:pPr>
        <w:spacing w:before="1" w:line="227" w:lineRule="auto"/>
        <w:ind w:left="2"/>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理和必要措施和方式防止任何第三方接触到对方当事人的上述保密信息和资料。</w:t>
      </w:r>
    </w:p>
    <w:p w14:paraId="1241C64A">
      <w:pPr>
        <w:pStyle w:val="4"/>
        <w:spacing w:before="251" w:line="165" w:lineRule="auto"/>
        <w:ind w:left="466"/>
        <w:outlineLvl w:val="1"/>
        <w:rPr>
          <w:rFonts w:hint="eastAsia" w:ascii="仿宋" w:hAnsi="仿宋" w:eastAsia="仿宋" w:cs="仿宋"/>
          <w:color w:val="auto"/>
          <w:sz w:val="25"/>
          <w:szCs w:val="25"/>
          <w:highlight w:val="none"/>
        </w:rPr>
      </w:pPr>
      <w:r>
        <w:rPr>
          <w:rFonts w:hint="eastAsia" w:ascii="仿宋" w:hAnsi="仿宋" w:eastAsia="仿宋" w:cs="仿宋"/>
          <w:color w:val="auto"/>
          <w:spacing w:val="2"/>
          <w:sz w:val="25"/>
          <w:szCs w:val="25"/>
          <w:highlight w:val="none"/>
        </w:rPr>
        <w:t>2.7</w:t>
      </w:r>
      <w:r>
        <w:rPr>
          <w:rFonts w:hint="eastAsia" w:ascii="仿宋" w:hAnsi="仿宋" w:eastAsia="仿宋" w:cs="仿宋"/>
          <w:color w:val="auto"/>
          <w:spacing w:val="43"/>
          <w:w w:val="101"/>
          <w:sz w:val="25"/>
          <w:szCs w:val="25"/>
          <w:highlight w:val="none"/>
        </w:rPr>
        <w:t xml:space="preserve"> </w:t>
      </w:r>
      <w:r>
        <w:rPr>
          <w:rFonts w:hint="eastAsia" w:ascii="仿宋" w:hAnsi="仿宋" w:eastAsia="仿宋" w:cs="仿宋"/>
          <w:color w:val="auto"/>
          <w:spacing w:val="2"/>
          <w:sz w:val="25"/>
          <w:szCs w:val="25"/>
          <w:highlight w:val="none"/>
        </w:rPr>
        <w:t>质量保证</w:t>
      </w:r>
    </w:p>
    <w:p w14:paraId="04EEF53B">
      <w:pPr>
        <w:spacing w:before="291" w:line="227" w:lineRule="auto"/>
        <w:ind w:right="11"/>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2.7.1</w:t>
      </w:r>
      <w:r>
        <w:rPr>
          <w:rFonts w:hint="eastAsia" w:ascii="仿宋" w:hAnsi="仿宋" w:eastAsia="仿宋" w:cs="仿宋"/>
          <w:color w:val="auto"/>
          <w:spacing w:val="72"/>
          <w:sz w:val="23"/>
          <w:szCs w:val="23"/>
          <w:highlight w:val="none"/>
        </w:rPr>
        <w:t xml:space="preserve"> </w:t>
      </w:r>
      <w:r>
        <w:rPr>
          <w:rFonts w:hint="eastAsia" w:ascii="仿宋" w:hAnsi="仿宋" w:eastAsia="仿宋" w:cs="仿宋"/>
          <w:color w:val="auto"/>
          <w:spacing w:val="6"/>
          <w:sz w:val="23"/>
          <w:szCs w:val="23"/>
          <w:highlight w:val="none"/>
        </w:rPr>
        <w:t>乙方应建立和完善履行合同的内部质量保证体系，并提</w:t>
      </w:r>
      <w:r>
        <w:rPr>
          <w:rFonts w:hint="eastAsia" w:ascii="仿宋" w:hAnsi="仿宋" w:eastAsia="仿宋" w:cs="仿宋"/>
          <w:color w:val="auto"/>
          <w:spacing w:val="5"/>
          <w:sz w:val="23"/>
          <w:szCs w:val="23"/>
          <w:highlight w:val="none"/>
        </w:rPr>
        <w:t>供相关内部规章制度</w:t>
      </w:r>
    </w:p>
    <w:p w14:paraId="11561FE9">
      <w:pPr>
        <w:spacing w:before="277" w:line="227" w:lineRule="auto"/>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给甲方， 以便甲方进行监督检查；</w:t>
      </w:r>
    </w:p>
    <w:p w14:paraId="652900D4">
      <w:pPr>
        <w:spacing w:before="277" w:line="227" w:lineRule="auto"/>
        <w:ind w:right="3"/>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2.7.2</w:t>
      </w:r>
      <w:r>
        <w:rPr>
          <w:rFonts w:hint="eastAsia" w:ascii="仿宋" w:hAnsi="仿宋" w:eastAsia="仿宋" w:cs="仿宋"/>
          <w:color w:val="auto"/>
          <w:spacing w:val="71"/>
          <w:sz w:val="23"/>
          <w:szCs w:val="23"/>
          <w:highlight w:val="none"/>
        </w:rPr>
        <w:t xml:space="preserve"> </w:t>
      </w:r>
      <w:r>
        <w:rPr>
          <w:rFonts w:hint="eastAsia" w:ascii="仿宋" w:hAnsi="仿宋" w:eastAsia="仿宋" w:cs="仿宋"/>
          <w:color w:val="auto"/>
          <w:spacing w:val="6"/>
          <w:sz w:val="23"/>
          <w:szCs w:val="23"/>
          <w:highlight w:val="none"/>
        </w:rPr>
        <w:t>乙方应保证履行合同的人员数量和素质、软件和硬件设备的配置、场地、环</w:t>
      </w:r>
    </w:p>
    <w:p w14:paraId="2B57B5AB">
      <w:pPr>
        <w:spacing w:before="276"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境和设施等满足全面履行合同的要求，并应接受甲方的监督检查。</w:t>
      </w:r>
    </w:p>
    <w:p w14:paraId="5A7AD5C4">
      <w:pPr>
        <w:pStyle w:val="4"/>
        <w:spacing w:before="251" w:line="165" w:lineRule="auto"/>
        <w:ind w:left="466"/>
        <w:outlineLvl w:val="1"/>
        <w:rPr>
          <w:rFonts w:hint="eastAsia" w:ascii="仿宋" w:hAnsi="仿宋" w:eastAsia="仿宋" w:cs="仿宋"/>
          <w:color w:val="auto"/>
          <w:spacing w:val="2"/>
          <w:sz w:val="25"/>
          <w:szCs w:val="25"/>
          <w:highlight w:val="none"/>
        </w:rPr>
      </w:pPr>
      <w:r>
        <w:rPr>
          <w:rFonts w:hint="eastAsia" w:ascii="仿宋" w:hAnsi="仿宋" w:eastAsia="仿宋" w:cs="仿宋"/>
          <w:color w:val="auto"/>
          <w:spacing w:val="2"/>
          <w:sz w:val="25"/>
          <w:szCs w:val="25"/>
          <w:highlight w:val="none"/>
        </w:rPr>
        <w:t>2.8 延迟履行</w:t>
      </w:r>
    </w:p>
    <w:p w14:paraId="36F1A0B7">
      <w:pPr>
        <w:spacing w:before="292" w:line="449" w:lineRule="auto"/>
        <w:ind w:left="6" w:right="27" w:firstLine="470"/>
        <w:jc w:val="both"/>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在合同履行过程中，如果乙方遇到不能按时提供服务的情况，应</w:t>
      </w:r>
      <w:r>
        <w:rPr>
          <w:rFonts w:hint="eastAsia" w:ascii="仿宋" w:hAnsi="仿宋" w:eastAsia="仿宋" w:cs="仿宋"/>
          <w:color w:val="auto"/>
          <w:spacing w:val="7"/>
          <w:sz w:val="23"/>
          <w:szCs w:val="23"/>
          <w:highlight w:val="none"/>
        </w:rPr>
        <w:t>及时以书面形式将</w:t>
      </w:r>
      <w:r>
        <w:rPr>
          <w:rFonts w:hint="eastAsia" w:ascii="仿宋" w:hAnsi="仿宋" w:eastAsia="仿宋" w:cs="仿宋"/>
          <w:color w:val="auto"/>
          <w:spacing w:val="5"/>
          <w:sz w:val="23"/>
          <w:szCs w:val="23"/>
          <w:highlight w:val="none"/>
        </w:rPr>
        <w:t>不能按时提供服务的理由、预期延误时间通知</w:t>
      </w:r>
      <w:r>
        <w:rPr>
          <w:rFonts w:hint="eastAsia" w:ascii="仿宋" w:hAnsi="仿宋" w:eastAsia="仿宋" w:cs="仿宋"/>
          <w:color w:val="auto"/>
          <w:spacing w:val="4"/>
          <w:sz w:val="23"/>
          <w:szCs w:val="23"/>
          <w:highlight w:val="none"/>
        </w:rPr>
        <w:t>甲方； 甲方收到乙方通知后，认为其理由</w:t>
      </w:r>
    </w:p>
    <w:p w14:paraId="1362CB4A">
      <w:pPr>
        <w:spacing w:line="226" w:lineRule="auto"/>
        <w:ind w:left="7"/>
        <w:rPr>
          <w:rFonts w:hint="eastAsia" w:ascii="仿宋" w:hAnsi="仿宋" w:eastAsia="仿宋" w:cs="仿宋"/>
          <w:color w:val="auto"/>
          <w:sz w:val="23"/>
          <w:szCs w:val="23"/>
          <w:highlight w:val="none"/>
        </w:rPr>
        <w:sectPr>
          <w:footerReference r:id="rId23"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3"/>
          <w:sz w:val="23"/>
          <w:szCs w:val="23"/>
          <w:highlight w:val="none"/>
        </w:rPr>
        <w:t>正当的， 可以书面形式酌情同意乙方可以延长履行的具体时间。</w:t>
      </w:r>
    </w:p>
    <w:p w14:paraId="4F95CE79">
      <w:pPr>
        <w:pStyle w:val="4"/>
        <w:spacing w:line="283" w:lineRule="auto"/>
        <w:rPr>
          <w:rFonts w:hint="eastAsia" w:ascii="仿宋" w:hAnsi="仿宋" w:eastAsia="仿宋" w:cs="仿宋"/>
          <w:color w:val="auto"/>
          <w:highlight w:val="none"/>
        </w:rPr>
      </w:pPr>
    </w:p>
    <w:p w14:paraId="705F8CA5">
      <w:pPr>
        <w:pStyle w:val="4"/>
        <w:spacing w:before="107" w:line="165" w:lineRule="auto"/>
        <w:ind w:left="471"/>
        <w:outlineLvl w:val="1"/>
        <w:rPr>
          <w:rFonts w:hint="eastAsia" w:ascii="仿宋" w:hAnsi="仿宋" w:eastAsia="仿宋" w:cs="仿宋"/>
          <w:color w:val="auto"/>
          <w:sz w:val="25"/>
          <w:szCs w:val="25"/>
          <w:highlight w:val="none"/>
        </w:rPr>
      </w:pPr>
      <w:r>
        <w:rPr>
          <w:rFonts w:hint="eastAsia" w:ascii="仿宋" w:hAnsi="仿宋" w:eastAsia="仿宋" w:cs="仿宋"/>
          <w:color w:val="auto"/>
          <w:spacing w:val="2"/>
          <w:sz w:val="25"/>
          <w:szCs w:val="25"/>
          <w:highlight w:val="none"/>
        </w:rPr>
        <w:t>2.9</w:t>
      </w:r>
      <w:r>
        <w:rPr>
          <w:rFonts w:hint="eastAsia" w:ascii="仿宋" w:hAnsi="仿宋" w:eastAsia="仿宋" w:cs="仿宋"/>
          <w:color w:val="auto"/>
          <w:spacing w:val="47"/>
          <w:sz w:val="25"/>
          <w:szCs w:val="25"/>
          <w:highlight w:val="none"/>
        </w:rPr>
        <w:t xml:space="preserve"> </w:t>
      </w:r>
      <w:r>
        <w:rPr>
          <w:rFonts w:hint="eastAsia" w:ascii="仿宋" w:hAnsi="仿宋" w:eastAsia="仿宋" w:cs="仿宋"/>
          <w:color w:val="auto"/>
          <w:spacing w:val="2"/>
          <w:sz w:val="25"/>
          <w:szCs w:val="25"/>
          <w:highlight w:val="none"/>
        </w:rPr>
        <w:t>合同变更</w:t>
      </w:r>
    </w:p>
    <w:p w14:paraId="453BE267">
      <w:pPr>
        <w:spacing w:before="290" w:line="227" w:lineRule="auto"/>
        <w:ind w:right="2"/>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2.9.1 双方当事人协商一致，可以签订书面补充合同的形式变更合同，但不得违背</w:t>
      </w:r>
    </w:p>
    <w:p w14:paraId="445EC056">
      <w:pPr>
        <w:spacing w:before="264" w:line="572" w:lineRule="exact"/>
        <w:ind w:left="3"/>
        <w:rPr>
          <w:rFonts w:hint="eastAsia" w:ascii="仿宋" w:hAnsi="仿宋" w:eastAsia="仿宋" w:cs="仿宋"/>
          <w:color w:val="auto"/>
          <w:sz w:val="23"/>
          <w:szCs w:val="23"/>
          <w:highlight w:val="none"/>
        </w:rPr>
      </w:pPr>
      <w:r>
        <w:rPr>
          <w:rFonts w:hint="eastAsia" w:ascii="仿宋" w:hAnsi="仿宋" w:eastAsia="仿宋" w:cs="仿宋"/>
          <w:color w:val="auto"/>
          <w:spacing w:val="8"/>
          <w:position w:val="25"/>
          <w:sz w:val="23"/>
          <w:szCs w:val="23"/>
          <w:highlight w:val="none"/>
        </w:rPr>
        <w:t>采购文件确定的事项，且如果系追加与合同标的相同的服务的，那么所有补充合同的采</w:t>
      </w:r>
    </w:p>
    <w:p w14:paraId="416491EC">
      <w:pPr>
        <w:spacing w:before="1" w:line="225"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购金额不得超过原合同价的10%；</w:t>
      </w:r>
    </w:p>
    <w:p w14:paraId="1B7A8284">
      <w:pPr>
        <w:spacing w:before="277" w:line="227" w:lineRule="auto"/>
        <w:ind w:right="2"/>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2.9.2 合同继续履行将损害国家利益和社会公共利益的，双方当事人应当以书面形</w:t>
      </w:r>
    </w:p>
    <w:p w14:paraId="4C6AFE43">
      <w:pPr>
        <w:spacing w:before="264" w:line="572" w:lineRule="exact"/>
        <w:ind w:right="2"/>
        <w:jc w:val="right"/>
        <w:rPr>
          <w:rFonts w:hint="eastAsia" w:ascii="仿宋" w:hAnsi="仿宋" w:eastAsia="仿宋" w:cs="仿宋"/>
          <w:color w:val="auto"/>
          <w:sz w:val="23"/>
          <w:szCs w:val="23"/>
          <w:highlight w:val="none"/>
        </w:rPr>
      </w:pPr>
      <w:r>
        <w:rPr>
          <w:rFonts w:hint="eastAsia" w:ascii="仿宋" w:hAnsi="仿宋" w:eastAsia="仿宋" w:cs="仿宋"/>
          <w:color w:val="auto"/>
          <w:spacing w:val="8"/>
          <w:position w:val="25"/>
          <w:sz w:val="23"/>
          <w:szCs w:val="23"/>
          <w:highlight w:val="none"/>
        </w:rPr>
        <w:t>式变更合同。有过错的一方应当承担赔偿责任，双方当</w:t>
      </w:r>
      <w:r>
        <w:rPr>
          <w:rFonts w:hint="eastAsia" w:ascii="仿宋" w:hAnsi="仿宋" w:eastAsia="仿宋" w:cs="仿宋"/>
          <w:color w:val="auto"/>
          <w:spacing w:val="7"/>
          <w:position w:val="25"/>
          <w:sz w:val="23"/>
          <w:szCs w:val="23"/>
          <w:highlight w:val="none"/>
        </w:rPr>
        <w:t>事人都有过错的，各自承担相应</w:t>
      </w:r>
    </w:p>
    <w:p w14:paraId="12F98AC9">
      <w:pPr>
        <w:spacing w:line="227" w:lineRule="auto"/>
        <w:ind w:left="40"/>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的责任。</w:t>
      </w:r>
    </w:p>
    <w:p w14:paraId="7E71AAA8">
      <w:pPr>
        <w:spacing w:before="250" w:line="165" w:lineRule="auto"/>
        <w:ind w:left="470"/>
        <w:outlineLvl w:val="1"/>
        <w:rPr>
          <w:rFonts w:hint="eastAsia" w:ascii="仿宋" w:hAnsi="仿宋" w:eastAsia="仿宋" w:cs="仿宋"/>
          <w:color w:val="auto"/>
          <w:sz w:val="25"/>
          <w:szCs w:val="25"/>
          <w:highlight w:val="none"/>
        </w:rPr>
      </w:pPr>
      <w:r>
        <w:rPr>
          <w:rFonts w:hint="eastAsia" w:ascii="仿宋" w:hAnsi="仿宋" w:eastAsia="仿宋" w:cs="仿宋"/>
          <w:color w:val="auto"/>
          <w:spacing w:val="7"/>
          <w:sz w:val="25"/>
          <w:szCs w:val="25"/>
          <w:highlight w:val="none"/>
        </w:rPr>
        <w:t>2.10合同转让和分包</w:t>
      </w:r>
    </w:p>
    <w:p w14:paraId="55700AEB">
      <w:pPr>
        <w:spacing w:before="289" w:line="227" w:lineRule="auto"/>
        <w:ind w:right="2"/>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合同的权利义务依法不得转让，但经甲方同意，乙方可以依</w:t>
      </w:r>
      <w:r>
        <w:rPr>
          <w:rFonts w:hint="eastAsia" w:ascii="仿宋" w:hAnsi="仿宋" w:eastAsia="仿宋" w:cs="仿宋"/>
          <w:color w:val="auto"/>
          <w:spacing w:val="7"/>
          <w:sz w:val="23"/>
          <w:szCs w:val="23"/>
          <w:highlight w:val="none"/>
        </w:rPr>
        <w:t>法采取分包方式履行合</w:t>
      </w:r>
    </w:p>
    <w:p w14:paraId="010174D3">
      <w:pPr>
        <w:spacing w:before="299" w:line="440" w:lineRule="auto"/>
        <w:ind w:left="40" w:right="2" w:firstLine="8"/>
        <w:jc w:val="both"/>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同，即：</w:t>
      </w:r>
      <w:r>
        <w:rPr>
          <w:rFonts w:hint="eastAsia" w:ascii="仿宋" w:hAnsi="仿宋" w:eastAsia="仿宋" w:cs="仿宋"/>
          <w:color w:val="auto"/>
          <w:spacing w:val="-22"/>
          <w:sz w:val="23"/>
          <w:szCs w:val="23"/>
          <w:highlight w:val="none"/>
        </w:rPr>
        <w:t xml:space="preserve"> </w:t>
      </w:r>
      <w:r>
        <w:rPr>
          <w:rFonts w:hint="eastAsia" w:ascii="仿宋" w:hAnsi="仿宋" w:eastAsia="仿宋" w:cs="仿宋"/>
          <w:color w:val="auto"/>
          <w:spacing w:val="5"/>
          <w:sz w:val="23"/>
          <w:szCs w:val="23"/>
          <w:highlight w:val="none"/>
        </w:rPr>
        <w:t>依法可以将合同项下的部分非主体、非关键性工作</w:t>
      </w:r>
      <w:r>
        <w:rPr>
          <w:rFonts w:hint="eastAsia" w:ascii="仿宋" w:hAnsi="仿宋" w:eastAsia="仿宋" w:cs="仿宋"/>
          <w:color w:val="auto"/>
          <w:spacing w:val="4"/>
          <w:sz w:val="23"/>
          <w:szCs w:val="23"/>
          <w:highlight w:val="none"/>
        </w:rPr>
        <w:t>分包给他人完成，接受分包</w:t>
      </w:r>
      <w:r>
        <w:rPr>
          <w:rFonts w:hint="eastAsia" w:ascii="仿宋" w:hAnsi="仿宋" w:eastAsia="仿宋" w:cs="仿宋"/>
          <w:color w:val="auto"/>
          <w:spacing w:val="7"/>
          <w:sz w:val="23"/>
          <w:szCs w:val="23"/>
          <w:highlight w:val="none"/>
        </w:rPr>
        <w:t>的人应当具备相应的资格条件，并不得再次分包，且乙方应就分包项目向甲方负责，并</w:t>
      </w:r>
    </w:p>
    <w:p w14:paraId="7E439776">
      <w:pPr>
        <w:spacing w:before="1" w:line="226" w:lineRule="auto"/>
        <w:ind w:left="1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与分包供应商就分包项目向甲方承担连带责任。</w:t>
      </w:r>
    </w:p>
    <w:p w14:paraId="15706F21">
      <w:pPr>
        <w:pStyle w:val="4"/>
        <w:spacing w:before="247" w:line="173" w:lineRule="auto"/>
        <w:ind w:left="470"/>
        <w:outlineLvl w:val="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2.11</w:t>
      </w:r>
      <w:r>
        <w:rPr>
          <w:rFonts w:hint="eastAsia" w:ascii="仿宋" w:hAnsi="仿宋" w:eastAsia="仿宋" w:cs="仿宋"/>
          <w:color w:val="auto"/>
          <w:spacing w:val="59"/>
          <w:w w:val="101"/>
          <w:sz w:val="24"/>
          <w:szCs w:val="24"/>
          <w:highlight w:val="none"/>
        </w:rPr>
        <w:t xml:space="preserve"> </w:t>
      </w:r>
      <w:r>
        <w:rPr>
          <w:rFonts w:hint="eastAsia" w:ascii="仿宋" w:hAnsi="仿宋" w:eastAsia="仿宋" w:cs="仿宋"/>
          <w:color w:val="auto"/>
          <w:spacing w:val="4"/>
          <w:sz w:val="24"/>
          <w:szCs w:val="24"/>
          <w:highlight w:val="none"/>
        </w:rPr>
        <w:t>不可抗力</w:t>
      </w:r>
    </w:p>
    <w:p w14:paraId="605F2C11">
      <w:pPr>
        <w:spacing w:before="293" w:line="227" w:lineRule="auto"/>
        <w:ind w:right="2"/>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2.11.1如果任何一方遭遇法律规定的不可抗力， 致使合同履行受阻时，履行合同的</w:t>
      </w:r>
    </w:p>
    <w:p w14:paraId="534FCFD8">
      <w:pPr>
        <w:spacing w:before="276" w:line="227" w:lineRule="auto"/>
        <w:ind w:left="7"/>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期限应予延长，延长的期限应相当于不可抗力所影响的时间；</w:t>
      </w:r>
    </w:p>
    <w:p w14:paraId="78AF7F77">
      <w:pPr>
        <w:spacing w:before="276" w:line="227" w:lineRule="auto"/>
        <w:ind w:left="48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2.11.2</w:t>
      </w:r>
      <w:r>
        <w:rPr>
          <w:rFonts w:hint="eastAsia" w:ascii="仿宋" w:hAnsi="仿宋" w:eastAsia="仿宋" w:cs="仿宋"/>
          <w:color w:val="auto"/>
          <w:spacing w:val="46"/>
          <w:sz w:val="23"/>
          <w:szCs w:val="23"/>
          <w:highlight w:val="none"/>
        </w:rPr>
        <w:t xml:space="preserve"> </w:t>
      </w:r>
      <w:r>
        <w:rPr>
          <w:rFonts w:hint="eastAsia" w:ascii="仿宋" w:hAnsi="仿宋" w:eastAsia="仿宋" w:cs="仿宋"/>
          <w:color w:val="auto"/>
          <w:spacing w:val="2"/>
          <w:sz w:val="23"/>
          <w:szCs w:val="23"/>
          <w:highlight w:val="none"/>
        </w:rPr>
        <w:t>因不可抗力致使不能实现合同目的的， 当事人可以解除合同；</w:t>
      </w:r>
    </w:p>
    <w:p w14:paraId="50199309">
      <w:pPr>
        <w:spacing w:before="249" w:line="225" w:lineRule="auto"/>
        <w:ind w:left="487"/>
        <w:outlineLvl w:val="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2.11.3 因不可抗力致使合同有变更必要的，双方当事人应在合同专用条款约定时</w:t>
      </w:r>
    </w:p>
    <w:p w14:paraId="53AC0999">
      <w:pPr>
        <w:spacing w:before="216" w:line="227" w:lineRule="auto"/>
        <w:ind w:left="39"/>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间内以书面形式变更合同；</w:t>
      </w:r>
    </w:p>
    <w:p w14:paraId="34225E12">
      <w:pPr>
        <w:spacing w:before="248" w:line="225" w:lineRule="auto"/>
        <w:ind w:right="2"/>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2.11.4受不可抗力影响的一方在不可抗力发生后，应在合同专用条款约定时间内以</w:t>
      </w:r>
    </w:p>
    <w:p w14:paraId="1DF569A6">
      <w:pPr>
        <w:spacing w:before="223" w:line="557" w:lineRule="exact"/>
        <w:jc w:val="right"/>
        <w:rPr>
          <w:rFonts w:hint="eastAsia" w:ascii="仿宋" w:hAnsi="仿宋" w:eastAsia="仿宋" w:cs="仿宋"/>
          <w:color w:val="auto"/>
          <w:sz w:val="23"/>
          <w:szCs w:val="23"/>
          <w:highlight w:val="none"/>
        </w:rPr>
      </w:pPr>
      <w:r>
        <w:rPr>
          <w:rFonts w:hint="eastAsia" w:ascii="仿宋" w:hAnsi="仿宋" w:eastAsia="仿宋" w:cs="仿宋"/>
          <w:color w:val="auto"/>
          <w:spacing w:val="8"/>
          <w:position w:val="22"/>
          <w:sz w:val="23"/>
          <w:szCs w:val="23"/>
          <w:highlight w:val="none"/>
        </w:rPr>
        <w:t>书面形式通知对方当事人，并在合同专用条款约定时间内，将有关部门出具的证明文件</w:t>
      </w:r>
    </w:p>
    <w:p w14:paraId="379DE7F3">
      <w:pPr>
        <w:spacing w:line="228" w:lineRule="auto"/>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送达对方当事人。</w:t>
      </w:r>
    </w:p>
    <w:p w14:paraId="4474D21E">
      <w:pPr>
        <w:pStyle w:val="4"/>
        <w:spacing w:before="246" w:line="294" w:lineRule="exact"/>
        <w:ind w:left="470"/>
        <w:outlineLvl w:val="1"/>
        <w:rPr>
          <w:rFonts w:hint="eastAsia" w:ascii="仿宋" w:hAnsi="仿宋" w:eastAsia="仿宋" w:cs="仿宋"/>
          <w:color w:val="auto"/>
          <w:sz w:val="27"/>
          <w:szCs w:val="27"/>
          <w:highlight w:val="none"/>
        </w:rPr>
      </w:pPr>
      <w:r>
        <w:rPr>
          <w:rFonts w:hint="eastAsia" w:ascii="仿宋" w:hAnsi="仿宋" w:eastAsia="仿宋" w:cs="仿宋"/>
          <w:color w:val="auto"/>
          <w:spacing w:val="-12"/>
          <w:sz w:val="27"/>
          <w:szCs w:val="27"/>
          <w:highlight w:val="none"/>
        </w:rPr>
        <w:t>2.12</w:t>
      </w:r>
      <w:r>
        <w:rPr>
          <w:rFonts w:hint="eastAsia" w:ascii="仿宋" w:hAnsi="仿宋" w:eastAsia="仿宋" w:cs="仿宋"/>
          <w:color w:val="auto"/>
          <w:spacing w:val="36"/>
          <w:sz w:val="27"/>
          <w:szCs w:val="27"/>
          <w:highlight w:val="none"/>
        </w:rPr>
        <w:t xml:space="preserve"> </w:t>
      </w:r>
      <w:r>
        <w:rPr>
          <w:rFonts w:hint="eastAsia" w:ascii="仿宋" w:hAnsi="仿宋" w:eastAsia="仿宋" w:cs="仿宋"/>
          <w:color w:val="auto"/>
          <w:spacing w:val="-12"/>
          <w:sz w:val="27"/>
          <w:szCs w:val="27"/>
          <w:highlight w:val="none"/>
        </w:rPr>
        <w:t>税费</w:t>
      </w:r>
    </w:p>
    <w:p w14:paraId="4D63924B">
      <w:pPr>
        <w:spacing w:before="295" w:line="227" w:lineRule="auto"/>
        <w:ind w:left="491"/>
        <w:outlineLvl w:val="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与合同有关的一切税费， 均按照中华人民共和国法律的相关规定缴纳。</w:t>
      </w:r>
    </w:p>
    <w:p w14:paraId="479C246C">
      <w:pPr>
        <w:pStyle w:val="4"/>
        <w:spacing w:before="246" w:line="171" w:lineRule="auto"/>
        <w:ind w:left="470"/>
        <w:outlineLvl w:val="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2.13</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2"/>
          <w:sz w:val="24"/>
          <w:szCs w:val="24"/>
          <w:highlight w:val="none"/>
        </w:rPr>
        <w:t>乙方破产</w:t>
      </w:r>
    </w:p>
    <w:p w14:paraId="3752E33B">
      <w:pPr>
        <w:spacing w:before="292" w:line="227" w:lineRule="auto"/>
        <w:ind w:right="2"/>
        <w:jc w:val="center"/>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如果乙方破产导致合同无法履行时，甲方可以书面形</w:t>
      </w:r>
      <w:r>
        <w:rPr>
          <w:rFonts w:hint="eastAsia" w:ascii="仿宋" w:hAnsi="仿宋" w:eastAsia="仿宋" w:cs="仿宋"/>
          <w:color w:val="auto"/>
          <w:spacing w:val="7"/>
          <w:sz w:val="23"/>
          <w:szCs w:val="23"/>
          <w:highlight w:val="none"/>
        </w:rPr>
        <w:t>式通知乙方终止合同且不给予</w:t>
      </w:r>
    </w:p>
    <w:p w14:paraId="7F4268B8">
      <w:pPr>
        <w:spacing w:line="227" w:lineRule="auto"/>
        <w:rPr>
          <w:rFonts w:hint="eastAsia" w:ascii="仿宋" w:hAnsi="仿宋" w:eastAsia="仿宋" w:cs="仿宋"/>
          <w:color w:val="auto"/>
          <w:sz w:val="23"/>
          <w:szCs w:val="23"/>
          <w:highlight w:val="none"/>
        </w:rPr>
        <w:sectPr>
          <w:footerReference r:id="rId24" w:type="default"/>
          <w:pgSz w:w="11905" w:h="16838"/>
          <w:pgMar w:top="1020" w:right="1134" w:bottom="1020" w:left="1134" w:header="0" w:footer="573" w:gutter="0"/>
          <w:pgNumType w:fmt="decimal"/>
          <w:cols w:space="0" w:num="1"/>
          <w:rtlGutter w:val="0"/>
          <w:docGrid w:linePitch="0" w:charSpace="0"/>
        </w:sectPr>
      </w:pPr>
    </w:p>
    <w:p w14:paraId="74CA4DB1">
      <w:pPr>
        <w:pStyle w:val="4"/>
        <w:spacing w:line="295" w:lineRule="auto"/>
        <w:rPr>
          <w:rFonts w:hint="eastAsia" w:ascii="仿宋" w:hAnsi="仿宋" w:eastAsia="仿宋" w:cs="仿宋"/>
          <w:color w:val="auto"/>
          <w:highlight w:val="none"/>
        </w:rPr>
      </w:pPr>
    </w:p>
    <w:p w14:paraId="2A81AB74">
      <w:pPr>
        <w:spacing w:before="75" w:line="573" w:lineRule="exact"/>
        <w:ind w:left="105"/>
        <w:rPr>
          <w:rFonts w:hint="eastAsia" w:ascii="仿宋" w:hAnsi="仿宋" w:eastAsia="仿宋" w:cs="仿宋"/>
          <w:color w:val="auto"/>
          <w:sz w:val="23"/>
          <w:szCs w:val="23"/>
          <w:highlight w:val="none"/>
        </w:rPr>
      </w:pPr>
      <w:r>
        <w:rPr>
          <w:rFonts w:hint="eastAsia" w:ascii="仿宋" w:hAnsi="仿宋" w:eastAsia="仿宋" w:cs="仿宋"/>
          <w:color w:val="auto"/>
          <w:spacing w:val="7"/>
          <w:position w:val="26"/>
          <w:sz w:val="23"/>
          <w:szCs w:val="23"/>
          <w:highlight w:val="none"/>
        </w:rPr>
        <w:t>乙方任何补偿和赔偿，但合同的终止不损害或不影响甲方已经采取或将要采取的任何要</w:t>
      </w:r>
    </w:p>
    <w:p w14:paraId="5A78597D">
      <w:pPr>
        <w:spacing w:line="227" w:lineRule="auto"/>
        <w:ind w:left="59"/>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求乙方支付违约金、赔偿损失等的行动或补救措施的权利。</w:t>
      </w:r>
    </w:p>
    <w:p w14:paraId="776D8B76">
      <w:pPr>
        <w:spacing w:before="249" w:line="164" w:lineRule="auto"/>
        <w:ind w:left="524"/>
        <w:outlineLvl w:val="1"/>
        <w:rPr>
          <w:rFonts w:hint="eastAsia" w:ascii="仿宋" w:hAnsi="仿宋" w:eastAsia="仿宋" w:cs="仿宋"/>
          <w:color w:val="auto"/>
          <w:sz w:val="25"/>
          <w:szCs w:val="25"/>
          <w:highlight w:val="none"/>
        </w:rPr>
      </w:pPr>
      <w:r>
        <w:rPr>
          <w:rFonts w:hint="eastAsia" w:ascii="仿宋" w:hAnsi="仿宋" w:eastAsia="仿宋" w:cs="仿宋"/>
          <w:color w:val="auto"/>
          <w:spacing w:val="7"/>
          <w:sz w:val="25"/>
          <w:szCs w:val="25"/>
          <w:highlight w:val="none"/>
        </w:rPr>
        <w:t>2.14合同中止、终止</w:t>
      </w:r>
    </w:p>
    <w:p w14:paraId="7B1F25F6">
      <w:pPr>
        <w:spacing w:before="290" w:line="227" w:lineRule="auto"/>
        <w:ind w:left="54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2.14.1 双方当事人不得擅自中止或者终止合同；</w:t>
      </w:r>
    </w:p>
    <w:p w14:paraId="7351A23C">
      <w:pPr>
        <w:spacing w:before="275" w:line="227" w:lineRule="auto"/>
        <w:ind w:right="36"/>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2.14.2合同继续履行将损害国家利益和社会公共利益的，双方当事人应当中止或者</w:t>
      </w:r>
    </w:p>
    <w:p w14:paraId="1072DCDF">
      <w:pPr>
        <w:spacing w:before="263" w:line="573" w:lineRule="exact"/>
        <w:ind w:left="83"/>
        <w:rPr>
          <w:rFonts w:hint="eastAsia" w:ascii="仿宋" w:hAnsi="仿宋" w:eastAsia="仿宋" w:cs="仿宋"/>
          <w:color w:val="auto"/>
          <w:sz w:val="23"/>
          <w:szCs w:val="23"/>
          <w:highlight w:val="none"/>
        </w:rPr>
      </w:pPr>
      <w:r>
        <w:rPr>
          <w:rFonts w:hint="eastAsia" w:ascii="仿宋" w:hAnsi="仿宋" w:eastAsia="仿宋" w:cs="仿宋"/>
          <w:color w:val="auto"/>
          <w:spacing w:val="8"/>
          <w:position w:val="26"/>
          <w:sz w:val="23"/>
          <w:szCs w:val="23"/>
          <w:highlight w:val="none"/>
        </w:rPr>
        <w:t>终止合同。有过错的一方应当承担赔偿责任，双方当事人</w:t>
      </w:r>
      <w:r>
        <w:rPr>
          <w:rFonts w:hint="eastAsia" w:ascii="仿宋" w:hAnsi="仿宋" w:eastAsia="仿宋" w:cs="仿宋"/>
          <w:color w:val="auto"/>
          <w:spacing w:val="7"/>
          <w:position w:val="26"/>
          <w:sz w:val="23"/>
          <w:szCs w:val="23"/>
          <w:highlight w:val="none"/>
        </w:rPr>
        <w:t>都有过错的，各自承担相应的</w:t>
      </w:r>
    </w:p>
    <w:p w14:paraId="4E9AEAB8">
      <w:pPr>
        <w:spacing w:before="1" w:line="227" w:lineRule="auto"/>
        <w:ind w:left="73"/>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责任。</w:t>
      </w:r>
    </w:p>
    <w:p w14:paraId="7CF038C2">
      <w:pPr>
        <w:pStyle w:val="4"/>
        <w:spacing w:before="248" w:line="166" w:lineRule="auto"/>
        <w:ind w:left="524"/>
        <w:outlineLvl w:val="1"/>
        <w:rPr>
          <w:rFonts w:hint="eastAsia" w:ascii="仿宋" w:hAnsi="仿宋" w:eastAsia="仿宋" w:cs="仿宋"/>
          <w:color w:val="auto"/>
          <w:sz w:val="25"/>
          <w:szCs w:val="25"/>
          <w:highlight w:val="none"/>
        </w:rPr>
      </w:pPr>
      <w:r>
        <w:rPr>
          <w:rFonts w:hint="eastAsia" w:ascii="仿宋" w:hAnsi="仿宋" w:eastAsia="仿宋" w:cs="仿宋"/>
          <w:color w:val="auto"/>
          <w:sz w:val="25"/>
          <w:szCs w:val="25"/>
          <w:highlight w:val="none"/>
        </w:rPr>
        <w:t>2.15</w:t>
      </w:r>
      <w:r>
        <w:rPr>
          <w:rFonts w:hint="eastAsia" w:ascii="仿宋" w:hAnsi="仿宋" w:eastAsia="仿宋" w:cs="仿宋"/>
          <w:color w:val="auto"/>
          <w:spacing w:val="38"/>
          <w:sz w:val="25"/>
          <w:szCs w:val="25"/>
          <w:highlight w:val="none"/>
        </w:rPr>
        <w:t xml:space="preserve"> </w:t>
      </w:r>
      <w:r>
        <w:rPr>
          <w:rFonts w:hint="eastAsia" w:ascii="仿宋" w:hAnsi="仿宋" w:eastAsia="仿宋" w:cs="仿宋"/>
          <w:color w:val="auto"/>
          <w:sz w:val="25"/>
          <w:szCs w:val="25"/>
          <w:highlight w:val="none"/>
        </w:rPr>
        <w:t>检验和验收</w:t>
      </w:r>
    </w:p>
    <w:p w14:paraId="5ACB1395">
      <w:pPr>
        <w:spacing w:before="262" w:line="225" w:lineRule="auto"/>
        <w:ind w:right="12"/>
        <w:jc w:val="center"/>
        <w:outlineLvl w:val="1"/>
        <w:rPr>
          <w:rFonts w:hint="eastAsia" w:ascii="仿宋" w:hAnsi="仿宋" w:eastAsia="仿宋" w:cs="仿宋"/>
          <w:color w:val="auto"/>
          <w:spacing w:val="8"/>
          <w:sz w:val="23"/>
          <w:szCs w:val="23"/>
          <w:highlight w:val="none"/>
        </w:rPr>
      </w:pPr>
      <w:r>
        <w:rPr>
          <w:rFonts w:hint="eastAsia" w:ascii="仿宋" w:hAnsi="仿宋" w:eastAsia="仿宋" w:cs="仿宋"/>
          <w:color w:val="auto"/>
          <w:spacing w:val="9"/>
          <w:sz w:val="23"/>
          <w:szCs w:val="23"/>
          <w:highlight w:val="none"/>
        </w:rPr>
        <w:t>2.15.1</w:t>
      </w:r>
      <w:r>
        <w:rPr>
          <w:rFonts w:hint="eastAsia" w:ascii="仿宋" w:hAnsi="仿宋" w:eastAsia="仿宋" w:cs="仿宋"/>
          <w:color w:val="auto"/>
          <w:spacing w:val="86"/>
          <w:sz w:val="23"/>
          <w:szCs w:val="23"/>
          <w:highlight w:val="none"/>
        </w:rPr>
        <w:t xml:space="preserve"> </w:t>
      </w:r>
      <w:r>
        <w:rPr>
          <w:rFonts w:hint="eastAsia" w:ascii="仿宋" w:hAnsi="仿宋" w:eastAsia="仿宋" w:cs="仿宋"/>
          <w:color w:val="auto"/>
          <w:spacing w:val="9"/>
          <w:sz w:val="23"/>
          <w:szCs w:val="23"/>
          <w:highlight w:val="none"/>
        </w:rPr>
        <w:t>乙方按照合同专用条款的约定，定期提交服务报告，甲方按照</w:t>
      </w:r>
      <w:r>
        <w:rPr>
          <w:rFonts w:hint="eastAsia" w:ascii="仿宋" w:hAnsi="仿宋" w:eastAsia="仿宋" w:cs="仿宋"/>
          <w:color w:val="auto"/>
          <w:spacing w:val="8"/>
          <w:sz w:val="23"/>
          <w:szCs w:val="23"/>
          <w:highlight w:val="none"/>
        </w:rPr>
        <w:t>合同专用条</w:t>
      </w:r>
    </w:p>
    <w:p w14:paraId="16A759FA">
      <w:pPr>
        <w:spacing w:before="190" w:line="307" w:lineRule="exact"/>
        <w:rPr>
          <w:rFonts w:hint="eastAsia" w:ascii="仿宋" w:hAnsi="仿宋" w:eastAsia="仿宋" w:cs="仿宋"/>
          <w:color w:val="auto"/>
          <w:sz w:val="23"/>
          <w:szCs w:val="23"/>
          <w:highlight w:val="none"/>
        </w:rPr>
      </w:pPr>
      <w:r>
        <w:rPr>
          <w:rFonts w:hint="eastAsia" w:ascii="仿宋" w:hAnsi="仿宋" w:eastAsia="仿宋" w:cs="仿宋"/>
          <w:color w:val="auto"/>
          <w:spacing w:val="2"/>
          <w:position w:val="1"/>
          <w:sz w:val="23"/>
          <w:szCs w:val="23"/>
          <w:highlight w:val="none"/>
          <w:lang w:val="en-US" w:eastAsia="zh-CN"/>
        </w:rPr>
        <w:t>款</w:t>
      </w:r>
      <w:r>
        <w:rPr>
          <w:rFonts w:hint="eastAsia" w:ascii="仿宋" w:hAnsi="仿宋" w:eastAsia="仿宋" w:cs="仿宋"/>
          <w:color w:val="auto"/>
          <w:spacing w:val="2"/>
          <w:position w:val="1"/>
          <w:sz w:val="23"/>
          <w:szCs w:val="23"/>
          <w:highlight w:val="none"/>
        </w:rPr>
        <w:t>的约定进行定期验收；</w:t>
      </w:r>
    </w:p>
    <w:p w14:paraId="6AA1CD77">
      <w:pPr>
        <w:spacing w:before="279" w:line="227" w:lineRule="auto"/>
        <w:ind w:left="54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2.15.2 合同期满或者履行完毕后，甲方有权组织（包括依法邀请国家认可的质量</w:t>
      </w:r>
    </w:p>
    <w:p w14:paraId="0314C8DB">
      <w:pPr>
        <w:spacing w:before="299" w:line="440" w:lineRule="auto"/>
        <w:ind w:left="54" w:right="36"/>
        <w:jc w:val="both"/>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检测机构参加）</w:t>
      </w:r>
      <w:r>
        <w:rPr>
          <w:rFonts w:hint="eastAsia" w:ascii="仿宋" w:hAnsi="仿宋" w:eastAsia="仿宋" w:cs="仿宋"/>
          <w:color w:val="auto"/>
          <w:spacing w:val="-28"/>
          <w:sz w:val="23"/>
          <w:szCs w:val="23"/>
          <w:highlight w:val="none"/>
        </w:rPr>
        <w:t xml:space="preserve"> </w:t>
      </w:r>
      <w:r>
        <w:rPr>
          <w:rFonts w:hint="eastAsia" w:ascii="仿宋" w:hAnsi="仿宋" w:eastAsia="仿宋" w:cs="仿宋"/>
          <w:color w:val="auto"/>
          <w:spacing w:val="3"/>
          <w:sz w:val="23"/>
          <w:szCs w:val="23"/>
          <w:highlight w:val="none"/>
        </w:rPr>
        <w:t>对乙方履约的验收，即： 按照合同约定的标准，组织对乙方履约情况的</w:t>
      </w:r>
      <w:r>
        <w:rPr>
          <w:rFonts w:hint="eastAsia" w:ascii="仿宋" w:hAnsi="仿宋" w:eastAsia="仿宋" w:cs="仿宋"/>
          <w:color w:val="auto"/>
          <w:spacing w:val="8"/>
          <w:sz w:val="23"/>
          <w:szCs w:val="23"/>
          <w:highlight w:val="none"/>
        </w:rPr>
        <w:t>验收，并出具验收书；向社会公众提供的公共服务项目，验收时应当邀请服务对象参与</w:t>
      </w:r>
    </w:p>
    <w:p w14:paraId="68ACD728">
      <w:pPr>
        <w:spacing w:before="1" w:line="225" w:lineRule="auto"/>
        <w:ind w:left="68"/>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并出具意见， 验收结果应当向社会公告；</w:t>
      </w:r>
    </w:p>
    <w:p w14:paraId="1AA4B2C1">
      <w:pPr>
        <w:spacing w:before="299" w:line="440" w:lineRule="auto"/>
        <w:ind w:left="54" w:right="36"/>
        <w:jc w:val="both"/>
        <w:rPr>
          <w:rFonts w:hint="eastAsia" w:ascii="仿宋" w:hAnsi="仿宋" w:eastAsia="仿宋" w:cs="仿宋"/>
          <w:color w:val="auto"/>
          <w:spacing w:val="8"/>
          <w:sz w:val="23"/>
          <w:szCs w:val="23"/>
          <w:highlight w:val="none"/>
        </w:rPr>
      </w:pPr>
      <w:r>
        <w:rPr>
          <w:rFonts w:hint="eastAsia" w:ascii="仿宋" w:hAnsi="仿宋" w:eastAsia="仿宋" w:cs="仿宋"/>
          <w:color w:val="auto"/>
          <w:spacing w:val="9"/>
          <w:sz w:val="23"/>
          <w:szCs w:val="23"/>
          <w:highlight w:val="none"/>
        </w:rPr>
        <w:t>2.15.3 检验和验收标准、程序等具体内容以及前述验收书的效力详</w:t>
      </w:r>
      <w:r>
        <w:rPr>
          <w:rFonts w:hint="eastAsia" w:ascii="仿宋" w:hAnsi="仿宋" w:eastAsia="仿宋" w:cs="仿宋"/>
          <w:color w:val="auto"/>
          <w:spacing w:val="8"/>
          <w:sz w:val="23"/>
          <w:szCs w:val="23"/>
          <w:highlight w:val="none"/>
        </w:rPr>
        <w:t>见合同专用条</w:t>
      </w:r>
      <w:r>
        <w:rPr>
          <w:rFonts w:hint="eastAsia" w:ascii="仿宋" w:hAnsi="仿宋" w:eastAsia="仿宋" w:cs="仿宋"/>
          <w:color w:val="auto"/>
          <w:spacing w:val="2"/>
          <w:position w:val="1"/>
          <w:sz w:val="23"/>
          <w:szCs w:val="23"/>
          <w:highlight w:val="none"/>
          <w:lang w:val="en-US" w:eastAsia="zh-CN"/>
        </w:rPr>
        <w:t>款。</w:t>
      </w:r>
    </w:p>
    <w:p w14:paraId="62F2DDEA">
      <w:pPr>
        <w:pStyle w:val="4"/>
        <w:spacing w:before="265" w:line="162" w:lineRule="auto"/>
        <w:ind w:left="524"/>
        <w:outlineLvl w:val="1"/>
        <w:rPr>
          <w:rFonts w:hint="eastAsia" w:ascii="仿宋" w:hAnsi="仿宋" w:eastAsia="仿宋" w:cs="仿宋"/>
          <w:color w:val="auto"/>
          <w:sz w:val="25"/>
          <w:szCs w:val="25"/>
          <w:highlight w:val="none"/>
        </w:rPr>
      </w:pPr>
      <w:r>
        <w:rPr>
          <w:rFonts w:hint="eastAsia" w:ascii="仿宋" w:hAnsi="仿宋" w:eastAsia="仿宋" w:cs="仿宋"/>
          <w:color w:val="auto"/>
          <w:spacing w:val="2"/>
          <w:sz w:val="25"/>
          <w:szCs w:val="25"/>
          <w:highlight w:val="none"/>
        </w:rPr>
        <w:t>2.16</w:t>
      </w:r>
      <w:r>
        <w:rPr>
          <w:rFonts w:hint="eastAsia" w:ascii="仿宋" w:hAnsi="仿宋" w:eastAsia="仿宋" w:cs="仿宋"/>
          <w:color w:val="auto"/>
          <w:spacing w:val="25"/>
          <w:sz w:val="25"/>
          <w:szCs w:val="25"/>
          <w:highlight w:val="none"/>
        </w:rPr>
        <w:t xml:space="preserve"> </w:t>
      </w:r>
      <w:r>
        <w:rPr>
          <w:rFonts w:hint="eastAsia" w:ascii="仿宋" w:hAnsi="仿宋" w:eastAsia="仿宋" w:cs="仿宋"/>
          <w:color w:val="auto"/>
          <w:spacing w:val="2"/>
          <w:sz w:val="25"/>
          <w:szCs w:val="25"/>
          <w:highlight w:val="none"/>
        </w:rPr>
        <w:t>通知和送达</w:t>
      </w:r>
    </w:p>
    <w:p w14:paraId="6F606036">
      <w:pPr>
        <w:spacing w:before="291" w:line="227" w:lineRule="auto"/>
        <w:ind w:left="54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2.16.1 任何一方因履行合同而以合同第一部分尾部所列明的发出的所有通知、文</w:t>
      </w:r>
    </w:p>
    <w:p w14:paraId="446544C6">
      <w:pPr>
        <w:spacing w:before="299" w:line="439" w:lineRule="auto"/>
        <w:ind w:left="54" w:right="38"/>
        <w:jc w:val="both"/>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件、材料，均视为已向对方当事人送达；任何一方变更上述送达方式或者地址的，应于个工作日内书面通知对方当事人，在对方当事人收到有关变更通知之前，变更前的约定</w:t>
      </w:r>
    </w:p>
    <w:p w14:paraId="1D421B1A">
      <w:pPr>
        <w:spacing w:line="227" w:lineRule="auto"/>
        <w:ind w:left="5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送达方式或者地址仍视为有效。</w:t>
      </w:r>
    </w:p>
    <w:p w14:paraId="267766BA">
      <w:pPr>
        <w:spacing w:before="276" w:line="227" w:lineRule="auto"/>
        <w:ind w:right="36"/>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2.16.2以当面交付方式送达的， 交付之时视为送达；以电子邮件方式送达的，发出</w:t>
      </w:r>
    </w:p>
    <w:p w14:paraId="7BA738F6">
      <w:pPr>
        <w:spacing w:before="267" w:line="571" w:lineRule="exact"/>
        <w:ind w:left="114"/>
        <w:rPr>
          <w:rFonts w:hint="eastAsia" w:ascii="仿宋" w:hAnsi="仿宋" w:eastAsia="仿宋" w:cs="仿宋"/>
          <w:color w:val="auto"/>
          <w:sz w:val="23"/>
          <w:szCs w:val="23"/>
          <w:highlight w:val="none"/>
        </w:rPr>
      </w:pPr>
      <w:r>
        <w:rPr>
          <w:rFonts w:hint="eastAsia" w:ascii="仿宋" w:hAnsi="仿宋" w:eastAsia="仿宋" w:cs="仿宋"/>
          <w:color w:val="auto"/>
          <w:spacing w:val="4"/>
          <w:position w:val="25"/>
          <w:sz w:val="23"/>
          <w:szCs w:val="23"/>
          <w:highlight w:val="none"/>
        </w:rPr>
        <w:t>电子邮件之时视为送达； 以传真方式送达的，发出传真之时</w:t>
      </w:r>
      <w:r>
        <w:rPr>
          <w:rFonts w:hint="eastAsia" w:ascii="仿宋" w:hAnsi="仿宋" w:eastAsia="仿宋" w:cs="仿宋"/>
          <w:color w:val="auto"/>
          <w:spacing w:val="3"/>
          <w:position w:val="25"/>
          <w:sz w:val="23"/>
          <w:szCs w:val="23"/>
          <w:highlight w:val="none"/>
        </w:rPr>
        <w:t>视为送达；以邮寄方式送达</w:t>
      </w:r>
    </w:p>
    <w:p w14:paraId="21590B15">
      <w:pPr>
        <w:spacing w:line="227" w:lineRule="auto"/>
        <w:ind w:left="94"/>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的，邮件挂号寄出或者交邮之日之次日视为送达。</w:t>
      </w:r>
    </w:p>
    <w:p w14:paraId="04AD6847">
      <w:pPr>
        <w:pStyle w:val="4"/>
        <w:spacing w:before="247" w:line="173" w:lineRule="auto"/>
        <w:ind w:left="524"/>
        <w:outlineLvl w:val="1"/>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2.17</w:t>
      </w:r>
      <w:r>
        <w:rPr>
          <w:rFonts w:hint="eastAsia" w:ascii="仿宋" w:hAnsi="仿宋" w:eastAsia="仿宋" w:cs="仿宋"/>
          <w:color w:val="auto"/>
          <w:spacing w:val="24"/>
          <w:sz w:val="24"/>
          <w:szCs w:val="24"/>
          <w:highlight w:val="none"/>
        </w:rPr>
        <w:t xml:space="preserve"> </w:t>
      </w:r>
      <w:r>
        <w:rPr>
          <w:rFonts w:hint="eastAsia" w:ascii="仿宋" w:hAnsi="仿宋" w:eastAsia="仿宋" w:cs="仿宋"/>
          <w:color w:val="auto"/>
          <w:spacing w:val="6"/>
          <w:sz w:val="24"/>
          <w:szCs w:val="24"/>
          <w:highlight w:val="none"/>
        </w:rPr>
        <w:t>合同使用的文字和适用的法律</w:t>
      </w:r>
    </w:p>
    <w:p w14:paraId="3B818EF2">
      <w:pPr>
        <w:spacing w:line="173" w:lineRule="auto"/>
        <w:rPr>
          <w:rFonts w:hint="eastAsia" w:ascii="仿宋" w:hAnsi="仿宋" w:eastAsia="仿宋" w:cs="仿宋"/>
          <w:color w:val="auto"/>
          <w:sz w:val="24"/>
          <w:szCs w:val="24"/>
          <w:highlight w:val="none"/>
        </w:rPr>
        <w:sectPr>
          <w:footerReference r:id="rId25" w:type="default"/>
          <w:pgSz w:w="11905" w:h="16838"/>
          <w:pgMar w:top="1020" w:right="1134" w:bottom="1020" w:left="1134" w:header="0" w:footer="573" w:gutter="0"/>
          <w:pgNumType w:fmt="decimal"/>
          <w:cols w:space="0" w:num="1"/>
          <w:rtlGutter w:val="0"/>
          <w:docGrid w:linePitch="0" w:charSpace="0"/>
        </w:sectPr>
      </w:pPr>
    </w:p>
    <w:p w14:paraId="538EA7A5">
      <w:pPr>
        <w:pStyle w:val="4"/>
        <w:spacing w:line="297" w:lineRule="auto"/>
        <w:rPr>
          <w:rFonts w:hint="eastAsia" w:ascii="仿宋" w:hAnsi="仿宋" w:eastAsia="仿宋" w:cs="仿宋"/>
          <w:color w:val="auto"/>
          <w:highlight w:val="none"/>
        </w:rPr>
      </w:pPr>
    </w:p>
    <w:p w14:paraId="1B15457F">
      <w:pPr>
        <w:spacing w:before="75" w:line="227" w:lineRule="auto"/>
        <w:ind w:left="136" w:firstLine="484" w:firstLineChars="20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2.17.1 合同使用汉语书就、变更和解释；</w:t>
      </w:r>
    </w:p>
    <w:p w14:paraId="3D00EBBB">
      <w:pPr>
        <w:spacing w:before="279" w:line="227" w:lineRule="auto"/>
        <w:ind w:left="136" w:firstLine="480" w:firstLineChars="20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2.17.2 合同适用中华人民共和国法律。</w:t>
      </w:r>
    </w:p>
    <w:p w14:paraId="7A61E453">
      <w:pPr>
        <w:pStyle w:val="4"/>
        <w:spacing w:before="247" w:line="172" w:lineRule="auto"/>
        <w:ind w:left="118" w:firstLine="496" w:firstLineChars="200"/>
        <w:outlineLvl w:val="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2.18</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4"/>
          <w:sz w:val="24"/>
          <w:szCs w:val="24"/>
          <w:highlight w:val="none"/>
        </w:rPr>
        <w:t>履约保证金：</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4"/>
          <w:sz w:val="24"/>
          <w:szCs w:val="24"/>
          <w:highlight w:val="none"/>
        </w:rPr>
        <w:t>/</w:t>
      </w:r>
    </w:p>
    <w:p w14:paraId="27345748">
      <w:pPr>
        <w:pStyle w:val="4"/>
        <w:spacing w:before="263" w:line="165" w:lineRule="auto"/>
        <w:ind w:left="118" w:firstLine="500" w:firstLineChars="200"/>
        <w:outlineLvl w:val="1"/>
        <w:rPr>
          <w:rFonts w:hint="eastAsia" w:ascii="仿宋" w:hAnsi="仿宋" w:eastAsia="仿宋" w:cs="仿宋"/>
          <w:color w:val="auto"/>
          <w:sz w:val="25"/>
          <w:szCs w:val="25"/>
          <w:highlight w:val="none"/>
        </w:rPr>
      </w:pPr>
      <w:r>
        <w:rPr>
          <w:rFonts w:hint="eastAsia" w:ascii="仿宋" w:hAnsi="仿宋" w:eastAsia="仿宋" w:cs="仿宋"/>
          <w:color w:val="auto"/>
          <w:sz w:val="25"/>
          <w:szCs w:val="25"/>
          <w:highlight w:val="none"/>
        </w:rPr>
        <w:t>2.19</w:t>
      </w:r>
      <w:r>
        <w:rPr>
          <w:rFonts w:hint="eastAsia" w:ascii="仿宋" w:hAnsi="仿宋" w:eastAsia="仿宋" w:cs="仿宋"/>
          <w:color w:val="auto"/>
          <w:spacing w:val="44"/>
          <w:sz w:val="25"/>
          <w:szCs w:val="25"/>
          <w:highlight w:val="none"/>
        </w:rPr>
        <w:t xml:space="preserve"> </w:t>
      </w:r>
      <w:r>
        <w:rPr>
          <w:rFonts w:hint="eastAsia" w:ascii="仿宋" w:hAnsi="仿宋" w:eastAsia="仿宋" w:cs="仿宋"/>
          <w:color w:val="auto"/>
          <w:sz w:val="25"/>
          <w:szCs w:val="25"/>
          <w:highlight w:val="none"/>
        </w:rPr>
        <w:t>合同份数</w:t>
      </w:r>
    </w:p>
    <w:p w14:paraId="554F70C1">
      <w:pPr>
        <w:spacing w:before="264" w:line="225" w:lineRule="auto"/>
        <w:ind w:left="132" w:firstLine="492" w:firstLineChars="200"/>
        <w:outlineLvl w:val="1"/>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合同份数</w:t>
      </w:r>
      <w:r>
        <w:rPr>
          <w:rFonts w:hint="eastAsia" w:ascii="仿宋" w:hAnsi="仿宋" w:eastAsia="仿宋" w:cs="仿宋"/>
          <w:color w:val="auto"/>
          <w:spacing w:val="5"/>
          <w:sz w:val="23"/>
          <w:szCs w:val="23"/>
          <w:highlight w:val="none"/>
        </w:rPr>
        <w:t>按合同专用条款规定</w:t>
      </w:r>
      <w:r>
        <w:rPr>
          <w:rFonts w:hint="eastAsia" w:ascii="仿宋" w:hAnsi="仿宋" w:eastAsia="仿宋" w:cs="仿宋"/>
          <w:color w:val="auto"/>
          <w:spacing w:val="8"/>
          <w:sz w:val="23"/>
          <w:szCs w:val="23"/>
          <w:highlight w:val="none"/>
        </w:rPr>
        <w:t>，每份均具有同等法律效力。</w:t>
      </w:r>
    </w:p>
    <w:p w14:paraId="3F6A1391">
      <w:pPr>
        <w:spacing w:line="225" w:lineRule="auto"/>
        <w:rPr>
          <w:rFonts w:hint="eastAsia" w:ascii="仿宋" w:hAnsi="仿宋" w:eastAsia="仿宋" w:cs="仿宋"/>
          <w:color w:val="auto"/>
          <w:sz w:val="23"/>
          <w:szCs w:val="23"/>
          <w:highlight w:val="none"/>
        </w:rPr>
        <w:sectPr>
          <w:footerReference r:id="rId26" w:type="default"/>
          <w:pgSz w:w="11905" w:h="16838"/>
          <w:pgMar w:top="1020" w:right="1134" w:bottom="1020" w:left="1134" w:header="0" w:footer="573" w:gutter="0"/>
          <w:pgNumType w:fmt="decimal"/>
          <w:cols w:space="0" w:num="1"/>
          <w:rtlGutter w:val="0"/>
          <w:docGrid w:linePitch="0" w:charSpace="0"/>
        </w:sectPr>
      </w:pPr>
    </w:p>
    <w:p w14:paraId="22051980">
      <w:pPr>
        <w:pStyle w:val="4"/>
        <w:spacing w:line="284" w:lineRule="auto"/>
        <w:rPr>
          <w:rFonts w:hint="eastAsia" w:ascii="仿宋" w:hAnsi="仿宋" w:eastAsia="仿宋" w:cs="仿宋"/>
          <w:color w:val="auto"/>
          <w:highlight w:val="none"/>
        </w:rPr>
      </w:pPr>
    </w:p>
    <w:p w14:paraId="2AB828F1">
      <w:pPr>
        <w:spacing w:before="103" w:line="173" w:lineRule="auto"/>
        <w:ind w:left="2991"/>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第三部分</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7"/>
          <w:sz w:val="24"/>
          <w:szCs w:val="24"/>
          <w:highlight w:val="none"/>
        </w:rPr>
        <w:t>合同专用条款</w:t>
      </w:r>
    </w:p>
    <w:p w14:paraId="28FCC43D">
      <w:pPr>
        <w:spacing w:before="56"/>
        <w:rPr>
          <w:rFonts w:hint="eastAsia" w:ascii="仿宋" w:hAnsi="仿宋" w:eastAsia="仿宋" w:cs="仿宋"/>
          <w:color w:val="auto"/>
          <w:highlight w:val="none"/>
        </w:rPr>
      </w:pPr>
    </w:p>
    <w:p w14:paraId="3EEA6F0C">
      <w:pPr>
        <w:spacing w:before="56"/>
        <w:rPr>
          <w:rFonts w:hint="eastAsia" w:ascii="仿宋" w:hAnsi="仿宋" w:eastAsia="仿宋" w:cs="仿宋"/>
          <w:color w:val="auto"/>
          <w:highlight w:val="none"/>
        </w:rPr>
      </w:pPr>
    </w:p>
    <w:tbl>
      <w:tblPr>
        <w:tblStyle w:val="20"/>
        <w:tblW w:w="86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9"/>
        <w:gridCol w:w="7230"/>
      </w:tblGrid>
      <w:tr w14:paraId="2AEA9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389" w:type="dxa"/>
            <w:vAlign w:val="top"/>
          </w:tcPr>
          <w:p w14:paraId="12136479">
            <w:pPr>
              <w:spacing w:before="175" w:line="292" w:lineRule="exact"/>
              <w:ind w:left="439"/>
              <w:outlineLvl w:val="1"/>
              <w:rPr>
                <w:rFonts w:hint="eastAsia" w:ascii="仿宋" w:hAnsi="仿宋" w:eastAsia="仿宋" w:cs="仿宋"/>
                <w:color w:val="auto"/>
                <w:sz w:val="29"/>
                <w:szCs w:val="29"/>
                <w:highlight w:val="none"/>
              </w:rPr>
            </w:pPr>
            <w:r>
              <w:rPr>
                <w:rFonts w:hint="eastAsia" w:ascii="仿宋" w:hAnsi="仿宋" w:eastAsia="仿宋" w:cs="仿宋"/>
                <w:color w:val="auto"/>
                <w:spacing w:val="-5"/>
                <w:w w:val="94"/>
                <w:position w:val="-1"/>
                <w:sz w:val="29"/>
                <w:szCs w:val="29"/>
                <w:highlight w:val="none"/>
              </w:rPr>
              <w:t>序号</w:t>
            </w:r>
          </w:p>
        </w:tc>
        <w:tc>
          <w:tcPr>
            <w:tcW w:w="7230" w:type="dxa"/>
            <w:vAlign w:val="top"/>
          </w:tcPr>
          <w:p w14:paraId="1FECC026">
            <w:pPr>
              <w:spacing w:before="172" w:line="172" w:lineRule="auto"/>
              <w:ind w:left="3190"/>
              <w:outlineLvl w:val="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内</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4"/>
                <w:sz w:val="24"/>
                <w:szCs w:val="24"/>
                <w:highlight w:val="none"/>
              </w:rPr>
              <w:t>容</w:t>
            </w:r>
          </w:p>
        </w:tc>
      </w:tr>
      <w:tr w14:paraId="25B7F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1389" w:type="dxa"/>
            <w:vAlign w:val="top"/>
          </w:tcPr>
          <w:p w14:paraId="1214A1CE">
            <w:pPr>
              <w:pStyle w:val="21"/>
              <w:spacing w:before="245" w:line="189" w:lineRule="auto"/>
              <w:ind w:left="684"/>
              <w:outlineLvl w:val="1"/>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7230" w:type="dxa"/>
            <w:vAlign w:val="top"/>
          </w:tcPr>
          <w:p w14:paraId="70470342">
            <w:pPr>
              <w:pStyle w:val="21"/>
              <w:spacing w:before="54" w:line="230" w:lineRule="auto"/>
              <w:ind w:left="123"/>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合同名称：</w:t>
            </w:r>
          </w:p>
          <w:p w14:paraId="01FFE89F">
            <w:pPr>
              <w:pStyle w:val="21"/>
              <w:spacing w:before="13" w:line="219" w:lineRule="auto"/>
              <w:ind w:left="123"/>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合同编号：</w:t>
            </w:r>
          </w:p>
        </w:tc>
      </w:tr>
      <w:tr w14:paraId="24EC6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389" w:type="dxa"/>
            <w:vMerge w:val="restart"/>
            <w:tcBorders>
              <w:bottom w:val="nil"/>
            </w:tcBorders>
            <w:vAlign w:val="top"/>
          </w:tcPr>
          <w:p w14:paraId="132C421E">
            <w:pPr>
              <w:spacing w:line="272" w:lineRule="auto"/>
              <w:rPr>
                <w:rFonts w:hint="eastAsia" w:ascii="仿宋" w:hAnsi="仿宋" w:eastAsia="仿宋" w:cs="仿宋"/>
                <w:color w:val="auto"/>
                <w:sz w:val="21"/>
                <w:highlight w:val="none"/>
              </w:rPr>
            </w:pPr>
          </w:p>
          <w:p w14:paraId="52364F4E">
            <w:pPr>
              <w:spacing w:line="272" w:lineRule="auto"/>
              <w:rPr>
                <w:rFonts w:hint="eastAsia" w:ascii="仿宋" w:hAnsi="仿宋" w:eastAsia="仿宋" w:cs="仿宋"/>
                <w:color w:val="auto"/>
                <w:sz w:val="21"/>
                <w:highlight w:val="none"/>
              </w:rPr>
            </w:pPr>
          </w:p>
          <w:p w14:paraId="29054900">
            <w:pPr>
              <w:pStyle w:val="21"/>
              <w:spacing w:before="74" w:line="188" w:lineRule="auto"/>
              <w:ind w:left="657"/>
              <w:outlineLvl w:val="1"/>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7230" w:type="dxa"/>
            <w:vAlign w:val="top"/>
          </w:tcPr>
          <w:p w14:paraId="46331970">
            <w:pPr>
              <w:pStyle w:val="21"/>
              <w:spacing w:before="115" w:line="229" w:lineRule="auto"/>
              <w:ind w:left="182"/>
              <w:outlineLvl w:val="1"/>
              <w:rPr>
                <w:rFonts w:hint="eastAsia" w:ascii="仿宋" w:hAnsi="仿宋" w:eastAsia="仿宋" w:cs="仿宋"/>
                <w:color w:val="auto"/>
                <w:highlight w:val="none"/>
              </w:rPr>
            </w:pPr>
            <w:r>
              <w:rPr>
                <w:rFonts w:hint="eastAsia" w:ascii="仿宋" w:hAnsi="仿宋" w:eastAsia="仿宋" w:cs="仿宋"/>
                <w:color w:val="auto"/>
                <w:spacing w:val="-6"/>
                <w:highlight w:val="none"/>
              </w:rPr>
              <w:t>甲方名称：</w:t>
            </w:r>
          </w:p>
        </w:tc>
      </w:tr>
      <w:tr w14:paraId="403B1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389" w:type="dxa"/>
            <w:vMerge w:val="continue"/>
            <w:tcBorders>
              <w:top w:val="nil"/>
              <w:bottom w:val="nil"/>
            </w:tcBorders>
            <w:vAlign w:val="top"/>
          </w:tcPr>
          <w:p w14:paraId="03AB02CC">
            <w:pPr>
              <w:rPr>
                <w:rFonts w:hint="eastAsia" w:ascii="仿宋" w:hAnsi="仿宋" w:eastAsia="仿宋" w:cs="仿宋"/>
                <w:color w:val="auto"/>
                <w:sz w:val="21"/>
                <w:highlight w:val="none"/>
              </w:rPr>
            </w:pPr>
          </w:p>
        </w:tc>
        <w:tc>
          <w:tcPr>
            <w:tcW w:w="7230" w:type="dxa"/>
            <w:vAlign w:val="top"/>
          </w:tcPr>
          <w:p w14:paraId="66BC2DD2">
            <w:pPr>
              <w:pStyle w:val="21"/>
              <w:spacing w:before="125" w:line="229" w:lineRule="auto"/>
              <w:ind w:left="182"/>
              <w:outlineLvl w:val="1"/>
              <w:rPr>
                <w:rFonts w:hint="eastAsia" w:ascii="仿宋" w:hAnsi="仿宋" w:eastAsia="仿宋" w:cs="仿宋"/>
                <w:color w:val="auto"/>
                <w:highlight w:val="none"/>
              </w:rPr>
            </w:pPr>
            <w:r>
              <w:rPr>
                <w:rFonts w:hint="eastAsia" w:ascii="仿宋" w:hAnsi="仿宋" w:eastAsia="仿宋" w:cs="仿宋"/>
                <w:color w:val="auto"/>
                <w:spacing w:val="-6"/>
                <w:highlight w:val="none"/>
              </w:rPr>
              <w:t>甲方地址：</w:t>
            </w:r>
          </w:p>
        </w:tc>
      </w:tr>
      <w:tr w14:paraId="027A0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89" w:type="dxa"/>
            <w:vMerge w:val="continue"/>
            <w:tcBorders>
              <w:top w:val="nil"/>
            </w:tcBorders>
            <w:vAlign w:val="top"/>
          </w:tcPr>
          <w:p w14:paraId="730FDC4A">
            <w:pPr>
              <w:rPr>
                <w:rFonts w:hint="eastAsia" w:ascii="仿宋" w:hAnsi="仿宋" w:eastAsia="仿宋" w:cs="仿宋"/>
                <w:color w:val="auto"/>
                <w:sz w:val="21"/>
                <w:highlight w:val="none"/>
              </w:rPr>
            </w:pPr>
          </w:p>
        </w:tc>
        <w:tc>
          <w:tcPr>
            <w:tcW w:w="7230" w:type="dxa"/>
            <w:vAlign w:val="top"/>
          </w:tcPr>
          <w:p w14:paraId="3CF50D08">
            <w:pPr>
              <w:pStyle w:val="21"/>
              <w:spacing w:before="127" w:line="229" w:lineRule="auto"/>
              <w:ind w:left="182"/>
              <w:outlineLvl w:val="1"/>
              <w:rPr>
                <w:rFonts w:hint="eastAsia" w:ascii="仿宋" w:hAnsi="仿宋" w:eastAsia="仿宋" w:cs="仿宋"/>
                <w:color w:val="auto"/>
                <w:highlight w:val="none"/>
              </w:rPr>
            </w:pPr>
            <w:r>
              <w:rPr>
                <w:rFonts w:hint="eastAsia" w:ascii="仿宋" w:hAnsi="仿宋" w:eastAsia="仿宋" w:cs="仿宋"/>
                <w:color w:val="auto"/>
                <w:spacing w:val="-5"/>
                <w:highlight w:val="none"/>
              </w:rPr>
              <w:t>甲方联系人：       电话：</w:t>
            </w:r>
          </w:p>
        </w:tc>
      </w:tr>
      <w:tr w14:paraId="28971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389" w:type="dxa"/>
            <w:vMerge w:val="restart"/>
            <w:tcBorders>
              <w:bottom w:val="nil"/>
            </w:tcBorders>
            <w:vAlign w:val="top"/>
          </w:tcPr>
          <w:p w14:paraId="377A4796">
            <w:pPr>
              <w:spacing w:line="288" w:lineRule="auto"/>
              <w:rPr>
                <w:rFonts w:hint="eastAsia" w:ascii="仿宋" w:hAnsi="仿宋" w:eastAsia="仿宋" w:cs="仿宋"/>
                <w:color w:val="auto"/>
                <w:sz w:val="21"/>
                <w:highlight w:val="none"/>
              </w:rPr>
            </w:pPr>
          </w:p>
          <w:p w14:paraId="7ACFE677">
            <w:pPr>
              <w:spacing w:line="288" w:lineRule="auto"/>
              <w:rPr>
                <w:rFonts w:hint="eastAsia" w:ascii="仿宋" w:hAnsi="仿宋" w:eastAsia="仿宋" w:cs="仿宋"/>
                <w:color w:val="auto"/>
                <w:sz w:val="21"/>
                <w:highlight w:val="none"/>
              </w:rPr>
            </w:pPr>
          </w:p>
          <w:p w14:paraId="6749CE5D">
            <w:pPr>
              <w:spacing w:line="289" w:lineRule="auto"/>
              <w:rPr>
                <w:rFonts w:hint="eastAsia" w:ascii="仿宋" w:hAnsi="仿宋" w:eastAsia="仿宋" w:cs="仿宋"/>
                <w:color w:val="auto"/>
                <w:sz w:val="21"/>
                <w:highlight w:val="none"/>
              </w:rPr>
            </w:pPr>
          </w:p>
          <w:p w14:paraId="665E1555">
            <w:pPr>
              <w:pStyle w:val="21"/>
              <w:spacing w:before="74" w:line="189" w:lineRule="auto"/>
              <w:ind w:left="659"/>
              <w:outlineLvl w:val="1"/>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7230" w:type="dxa"/>
            <w:vAlign w:val="top"/>
          </w:tcPr>
          <w:p w14:paraId="160D6FB8">
            <w:pPr>
              <w:pStyle w:val="21"/>
              <w:spacing w:before="122" w:line="229" w:lineRule="auto"/>
              <w:ind w:left="167"/>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乙方名称：</w:t>
            </w:r>
          </w:p>
        </w:tc>
      </w:tr>
      <w:tr w14:paraId="498C4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389" w:type="dxa"/>
            <w:vMerge w:val="continue"/>
            <w:tcBorders>
              <w:top w:val="nil"/>
              <w:bottom w:val="nil"/>
            </w:tcBorders>
            <w:vAlign w:val="top"/>
          </w:tcPr>
          <w:p w14:paraId="6FFE91B0">
            <w:pPr>
              <w:rPr>
                <w:rFonts w:hint="eastAsia" w:ascii="仿宋" w:hAnsi="仿宋" w:eastAsia="仿宋" w:cs="仿宋"/>
                <w:color w:val="auto"/>
                <w:sz w:val="21"/>
                <w:highlight w:val="none"/>
              </w:rPr>
            </w:pPr>
          </w:p>
        </w:tc>
        <w:tc>
          <w:tcPr>
            <w:tcW w:w="7230" w:type="dxa"/>
            <w:vAlign w:val="top"/>
          </w:tcPr>
          <w:p w14:paraId="63DC5DE4">
            <w:pPr>
              <w:pStyle w:val="21"/>
              <w:spacing w:before="118" w:line="229" w:lineRule="auto"/>
              <w:ind w:left="167"/>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乙方地址：</w:t>
            </w:r>
          </w:p>
        </w:tc>
      </w:tr>
      <w:tr w14:paraId="6D2A6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389" w:type="dxa"/>
            <w:vMerge w:val="continue"/>
            <w:tcBorders>
              <w:top w:val="nil"/>
              <w:bottom w:val="nil"/>
            </w:tcBorders>
            <w:vAlign w:val="top"/>
          </w:tcPr>
          <w:p w14:paraId="37883B97">
            <w:pPr>
              <w:rPr>
                <w:rFonts w:hint="eastAsia" w:ascii="仿宋" w:hAnsi="仿宋" w:eastAsia="仿宋" w:cs="仿宋"/>
                <w:color w:val="auto"/>
                <w:sz w:val="21"/>
                <w:highlight w:val="none"/>
              </w:rPr>
            </w:pPr>
          </w:p>
        </w:tc>
        <w:tc>
          <w:tcPr>
            <w:tcW w:w="7230" w:type="dxa"/>
            <w:vAlign w:val="top"/>
          </w:tcPr>
          <w:p w14:paraId="05F6A92E">
            <w:pPr>
              <w:pStyle w:val="21"/>
              <w:spacing w:before="130" w:line="229" w:lineRule="auto"/>
              <w:ind w:left="167"/>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乙方联系人：       电话：</w:t>
            </w:r>
          </w:p>
        </w:tc>
      </w:tr>
      <w:tr w14:paraId="36108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89" w:type="dxa"/>
            <w:vMerge w:val="continue"/>
            <w:tcBorders>
              <w:top w:val="nil"/>
            </w:tcBorders>
            <w:vAlign w:val="top"/>
          </w:tcPr>
          <w:p w14:paraId="3B7EFD78">
            <w:pPr>
              <w:rPr>
                <w:rFonts w:hint="eastAsia" w:ascii="仿宋" w:hAnsi="仿宋" w:eastAsia="仿宋" w:cs="仿宋"/>
                <w:color w:val="auto"/>
                <w:sz w:val="21"/>
                <w:highlight w:val="none"/>
              </w:rPr>
            </w:pPr>
          </w:p>
        </w:tc>
        <w:tc>
          <w:tcPr>
            <w:tcW w:w="7230" w:type="dxa"/>
            <w:vAlign w:val="top"/>
          </w:tcPr>
          <w:p w14:paraId="016CDA28">
            <w:pPr>
              <w:pStyle w:val="21"/>
              <w:spacing w:before="48" w:line="228" w:lineRule="auto"/>
              <w:ind w:left="167"/>
              <w:outlineLvl w:val="1"/>
              <w:rPr>
                <w:rFonts w:hint="eastAsia" w:ascii="仿宋" w:hAnsi="仿宋" w:eastAsia="仿宋" w:cs="仿宋"/>
                <w:color w:val="auto"/>
                <w:highlight w:val="none"/>
              </w:rPr>
            </w:pPr>
            <w:r>
              <w:rPr>
                <w:rFonts w:hint="eastAsia" w:ascii="仿宋" w:hAnsi="仿宋" w:eastAsia="仿宋" w:cs="仿宋"/>
                <w:color w:val="auto"/>
                <w:spacing w:val="2"/>
                <w:highlight w:val="none"/>
              </w:rPr>
              <w:t>乙方开户银行名称：</w:t>
            </w:r>
          </w:p>
          <w:p w14:paraId="69F948CE">
            <w:pPr>
              <w:pStyle w:val="21"/>
              <w:spacing w:before="12" w:line="217" w:lineRule="auto"/>
              <w:ind w:left="128"/>
              <w:outlineLvl w:val="1"/>
              <w:rPr>
                <w:rFonts w:hint="eastAsia" w:ascii="仿宋" w:hAnsi="仿宋" w:eastAsia="仿宋" w:cs="仿宋"/>
                <w:color w:val="auto"/>
                <w:highlight w:val="none"/>
              </w:rPr>
            </w:pPr>
            <w:r>
              <w:rPr>
                <w:rFonts w:hint="eastAsia" w:ascii="仿宋" w:hAnsi="仿宋" w:eastAsia="仿宋" w:cs="仿宋"/>
                <w:color w:val="auto"/>
                <w:highlight w:val="none"/>
              </w:rPr>
              <w:t>账号：</w:t>
            </w:r>
          </w:p>
        </w:tc>
      </w:tr>
      <w:tr w14:paraId="51AC3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389" w:type="dxa"/>
            <w:vAlign w:val="top"/>
          </w:tcPr>
          <w:p w14:paraId="539057E7">
            <w:pPr>
              <w:pStyle w:val="21"/>
              <w:spacing w:before="188" w:line="188" w:lineRule="auto"/>
              <w:ind w:left="648"/>
              <w:outlineLvl w:val="1"/>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7230" w:type="dxa"/>
            <w:vAlign w:val="top"/>
          </w:tcPr>
          <w:p w14:paraId="05D77C27">
            <w:pPr>
              <w:pStyle w:val="21"/>
              <w:spacing w:before="149" w:line="227" w:lineRule="auto"/>
              <w:ind w:left="123"/>
              <w:outlineLvl w:val="1"/>
              <w:rPr>
                <w:rFonts w:hint="eastAsia" w:ascii="仿宋" w:hAnsi="仿宋" w:eastAsia="仿宋" w:cs="仿宋"/>
                <w:color w:val="auto"/>
                <w:highlight w:val="none"/>
              </w:rPr>
            </w:pPr>
            <w:r>
              <w:rPr>
                <w:rFonts w:hint="eastAsia" w:ascii="仿宋" w:hAnsi="仿宋" w:eastAsia="仿宋" w:cs="仿宋"/>
                <w:color w:val="auto"/>
                <w:spacing w:val="4"/>
                <w:highlight w:val="none"/>
              </w:rPr>
              <w:t>合同金额：</w:t>
            </w:r>
          </w:p>
        </w:tc>
      </w:tr>
      <w:tr w14:paraId="4DA11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1389" w:type="dxa"/>
            <w:vAlign w:val="top"/>
          </w:tcPr>
          <w:p w14:paraId="76580AB4">
            <w:pPr>
              <w:pStyle w:val="21"/>
              <w:spacing w:before="315" w:line="187" w:lineRule="auto"/>
              <w:ind w:left="659"/>
              <w:outlineLvl w:val="1"/>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7230" w:type="dxa"/>
            <w:vAlign w:val="top"/>
          </w:tcPr>
          <w:p w14:paraId="7AF8B7FF">
            <w:pPr>
              <w:pStyle w:val="21"/>
              <w:spacing w:before="274" w:line="227" w:lineRule="auto"/>
              <w:ind w:left="120"/>
              <w:outlineLvl w:val="1"/>
              <w:rPr>
                <w:rFonts w:hint="eastAsia" w:ascii="仿宋" w:hAnsi="仿宋" w:eastAsia="仿宋" w:cs="仿宋"/>
                <w:color w:val="auto"/>
                <w:highlight w:val="none"/>
              </w:rPr>
            </w:pPr>
            <w:r>
              <w:rPr>
                <w:rFonts w:hint="eastAsia" w:ascii="仿宋" w:hAnsi="仿宋" w:eastAsia="仿宋" w:cs="仿宋"/>
                <w:color w:val="auto"/>
                <w:spacing w:val="8"/>
                <w:highlight w:val="none"/>
              </w:rPr>
              <w:t>服务时间、地点：按采购人要求执行</w:t>
            </w:r>
          </w:p>
        </w:tc>
      </w:tr>
      <w:tr w14:paraId="5681A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389" w:type="dxa"/>
            <w:vAlign w:val="top"/>
          </w:tcPr>
          <w:p w14:paraId="48378A31">
            <w:pPr>
              <w:pStyle w:val="21"/>
              <w:spacing w:before="158" w:line="189" w:lineRule="auto"/>
              <w:ind w:left="654"/>
              <w:outlineLvl w:val="1"/>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7230" w:type="dxa"/>
            <w:vAlign w:val="top"/>
          </w:tcPr>
          <w:p w14:paraId="79FF992D">
            <w:pPr>
              <w:pStyle w:val="21"/>
              <w:spacing w:before="121" w:line="227" w:lineRule="auto"/>
              <w:ind w:left="120"/>
              <w:outlineLvl w:val="1"/>
              <w:rPr>
                <w:rFonts w:hint="eastAsia" w:ascii="仿宋" w:hAnsi="仿宋" w:eastAsia="仿宋" w:cs="仿宋"/>
                <w:color w:val="auto"/>
                <w:highlight w:val="none"/>
              </w:rPr>
            </w:pPr>
            <w:r>
              <w:rPr>
                <w:rFonts w:hint="eastAsia" w:ascii="仿宋" w:hAnsi="仿宋" w:eastAsia="仿宋" w:cs="仿宋"/>
                <w:color w:val="auto"/>
                <w:spacing w:val="8"/>
                <w:highlight w:val="none"/>
              </w:rPr>
              <w:t>服务期限：按采购人要求执行</w:t>
            </w:r>
          </w:p>
        </w:tc>
      </w:tr>
      <w:tr w14:paraId="39F00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389" w:type="dxa"/>
            <w:vAlign w:val="top"/>
          </w:tcPr>
          <w:p w14:paraId="568E5894">
            <w:pPr>
              <w:pStyle w:val="21"/>
              <w:spacing w:before="195" w:line="187" w:lineRule="auto"/>
              <w:ind w:left="660"/>
              <w:outlineLvl w:val="1"/>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7230" w:type="dxa"/>
            <w:vAlign w:val="top"/>
          </w:tcPr>
          <w:p w14:paraId="54241A0A">
            <w:pPr>
              <w:pStyle w:val="21"/>
              <w:spacing w:before="155" w:line="227" w:lineRule="auto"/>
              <w:ind w:left="119"/>
              <w:outlineLvl w:val="1"/>
              <w:rPr>
                <w:rFonts w:hint="eastAsia" w:ascii="仿宋" w:hAnsi="仿宋" w:eastAsia="仿宋" w:cs="仿宋"/>
                <w:color w:val="auto"/>
                <w:highlight w:val="none"/>
              </w:rPr>
            </w:pPr>
            <w:r>
              <w:rPr>
                <w:rFonts w:hint="eastAsia" w:ascii="仿宋" w:hAnsi="仿宋" w:eastAsia="仿宋" w:cs="仿宋"/>
                <w:color w:val="auto"/>
                <w:spacing w:val="6"/>
                <w:highlight w:val="none"/>
              </w:rPr>
              <w:t>验收方式及标准：</w:t>
            </w:r>
          </w:p>
        </w:tc>
      </w:tr>
      <w:tr w14:paraId="6B4D7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1389" w:type="dxa"/>
            <w:vAlign w:val="top"/>
          </w:tcPr>
          <w:p w14:paraId="41B7FBE4">
            <w:pPr>
              <w:spacing w:line="451" w:lineRule="auto"/>
              <w:rPr>
                <w:rFonts w:hint="eastAsia" w:ascii="仿宋" w:hAnsi="仿宋" w:eastAsia="仿宋" w:cs="仿宋"/>
                <w:color w:val="auto"/>
                <w:sz w:val="21"/>
                <w:highlight w:val="none"/>
              </w:rPr>
            </w:pPr>
          </w:p>
          <w:p w14:paraId="7EF0EB40">
            <w:pPr>
              <w:pStyle w:val="21"/>
              <w:spacing w:before="74" w:line="189" w:lineRule="auto"/>
              <w:ind w:left="653"/>
              <w:outlineLvl w:val="1"/>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7230" w:type="dxa"/>
            <w:vAlign w:val="top"/>
          </w:tcPr>
          <w:p w14:paraId="64104294">
            <w:pPr>
              <w:pStyle w:val="21"/>
              <w:spacing w:before="182" w:line="227" w:lineRule="auto"/>
              <w:ind w:left="120"/>
              <w:outlineLvl w:val="1"/>
              <w:rPr>
                <w:rFonts w:hint="eastAsia" w:ascii="仿宋" w:hAnsi="仿宋" w:eastAsia="仿宋" w:cs="仿宋"/>
                <w:color w:val="auto"/>
                <w:highlight w:val="none"/>
              </w:rPr>
            </w:pPr>
            <w:r>
              <w:rPr>
                <w:rFonts w:hint="eastAsia" w:ascii="仿宋" w:hAnsi="仿宋" w:eastAsia="仿宋" w:cs="仿宋"/>
                <w:color w:val="auto"/>
                <w:spacing w:val="-2"/>
                <w:highlight w:val="none"/>
              </w:rPr>
              <w:t>付款方式：</w:t>
            </w:r>
          </w:p>
          <w:p w14:paraId="411A7889">
            <w:pPr>
              <w:pStyle w:val="21"/>
              <w:spacing w:before="33" w:line="227" w:lineRule="auto"/>
              <w:ind w:left="157"/>
              <w:outlineLvl w:val="1"/>
              <w:rPr>
                <w:rFonts w:hint="eastAsia" w:ascii="仿宋" w:hAnsi="仿宋" w:eastAsia="仿宋" w:cs="仿宋"/>
                <w:color w:val="auto"/>
                <w:highlight w:val="none"/>
              </w:rPr>
            </w:pPr>
            <w:r>
              <w:rPr>
                <w:rFonts w:hint="eastAsia" w:ascii="仿宋" w:hAnsi="仿宋" w:eastAsia="仿宋" w:cs="仿宋"/>
                <w:color w:val="auto"/>
                <w:spacing w:val="3"/>
                <w:highlight w:val="none"/>
              </w:rPr>
              <w:t>1.本合同以人民币付款。</w:t>
            </w:r>
          </w:p>
          <w:p w14:paraId="66863BC4">
            <w:pPr>
              <w:pStyle w:val="21"/>
              <w:spacing w:before="38" w:line="227" w:lineRule="auto"/>
              <w:ind w:left="125"/>
              <w:outlineLvl w:val="1"/>
              <w:rPr>
                <w:rFonts w:hint="eastAsia" w:ascii="仿宋" w:hAnsi="仿宋" w:eastAsia="仿宋" w:cs="仿宋"/>
                <w:color w:val="auto"/>
                <w:highlight w:val="none"/>
              </w:rPr>
            </w:pPr>
            <w:r>
              <w:rPr>
                <w:rFonts w:hint="eastAsia" w:ascii="仿宋" w:hAnsi="仿宋" w:eastAsia="仿宋" w:cs="仿宋"/>
                <w:color w:val="auto"/>
                <w:spacing w:val="7"/>
                <w:highlight w:val="none"/>
              </w:rPr>
              <w:t>2.付款计划安排：按采购人要求执行</w:t>
            </w:r>
          </w:p>
        </w:tc>
      </w:tr>
      <w:tr w14:paraId="5B738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389" w:type="dxa"/>
            <w:vAlign w:val="top"/>
          </w:tcPr>
          <w:p w14:paraId="53E77FBE">
            <w:pPr>
              <w:pStyle w:val="21"/>
              <w:spacing w:before="193" w:line="189" w:lineRule="auto"/>
              <w:ind w:left="653"/>
              <w:outlineLvl w:val="1"/>
              <w:rPr>
                <w:rFonts w:hint="eastAsia" w:ascii="仿宋" w:hAnsi="仿宋" w:eastAsia="仿宋" w:cs="仿宋"/>
                <w:color w:val="auto"/>
                <w:highlight w:val="none"/>
              </w:rPr>
            </w:pPr>
            <w:r>
              <w:rPr>
                <w:rFonts w:hint="eastAsia" w:ascii="仿宋" w:hAnsi="仿宋" w:eastAsia="仿宋" w:cs="仿宋"/>
                <w:color w:val="auto"/>
                <w:highlight w:val="none"/>
              </w:rPr>
              <w:t>9</w:t>
            </w:r>
          </w:p>
        </w:tc>
        <w:tc>
          <w:tcPr>
            <w:tcW w:w="7230" w:type="dxa"/>
            <w:vAlign w:val="top"/>
          </w:tcPr>
          <w:p w14:paraId="2615A5D9">
            <w:pPr>
              <w:pStyle w:val="21"/>
              <w:spacing w:before="158" w:line="228" w:lineRule="auto"/>
              <w:ind w:left="128"/>
              <w:outlineLvl w:val="1"/>
              <w:rPr>
                <w:rFonts w:hint="eastAsia" w:ascii="仿宋" w:hAnsi="仿宋" w:eastAsia="仿宋" w:cs="仿宋"/>
                <w:color w:val="auto"/>
                <w:highlight w:val="none"/>
              </w:rPr>
            </w:pPr>
            <w:r>
              <w:rPr>
                <w:rFonts w:hint="eastAsia" w:ascii="仿宋" w:hAnsi="仿宋" w:eastAsia="仿宋" w:cs="仿宋"/>
                <w:color w:val="auto"/>
                <w:spacing w:val="6"/>
                <w:highlight w:val="none"/>
              </w:rPr>
              <w:t>履约保证金及其返还：/。</w:t>
            </w:r>
          </w:p>
        </w:tc>
      </w:tr>
      <w:tr w14:paraId="1B04A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389" w:type="dxa"/>
            <w:vAlign w:val="top"/>
          </w:tcPr>
          <w:p w14:paraId="658DE1F1">
            <w:pPr>
              <w:pStyle w:val="21"/>
              <w:spacing w:before="248" w:line="189" w:lineRule="auto"/>
              <w:ind w:left="624"/>
              <w:rPr>
                <w:rFonts w:hint="eastAsia" w:ascii="仿宋" w:hAnsi="仿宋" w:eastAsia="仿宋" w:cs="仿宋"/>
                <w:color w:val="auto"/>
                <w:highlight w:val="none"/>
              </w:rPr>
            </w:pPr>
            <w:r>
              <w:rPr>
                <w:rFonts w:hint="eastAsia" w:ascii="仿宋" w:hAnsi="仿宋" w:eastAsia="仿宋" w:cs="仿宋"/>
                <w:color w:val="auto"/>
                <w:spacing w:val="-12"/>
                <w:highlight w:val="none"/>
              </w:rPr>
              <w:t>10</w:t>
            </w:r>
          </w:p>
        </w:tc>
        <w:tc>
          <w:tcPr>
            <w:tcW w:w="7230" w:type="dxa"/>
            <w:vAlign w:val="top"/>
          </w:tcPr>
          <w:p w14:paraId="0A155D7F">
            <w:pPr>
              <w:pStyle w:val="21"/>
              <w:spacing w:before="59" w:line="227" w:lineRule="auto"/>
              <w:ind w:left="123"/>
              <w:rPr>
                <w:rFonts w:hint="eastAsia" w:ascii="仿宋" w:hAnsi="仿宋" w:eastAsia="仿宋" w:cs="仿宋"/>
                <w:color w:val="auto"/>
                <w:highlight w:val="none"/>
              </w:rPr>
            </w:pPr>
            <w:r>
              <w:rPr>
                <w:rFonts w:hint="eastAsia" w:ascii="仿宋" w:hAnsi="仿宋" w:eastAsia="仿宋" w:cs="仿宋"/>
                <w:color w:val="auto"/>
                <w:spacing w:val="5"/>
                <w:highlight w:val="none"/>
              </w:rPr>
              <w:t>合同履行期限： 自合同生效之日起至合同全部权利义务履行完毕之</w:t>
            </w:r>
          </w:p>
          <w:p w14:paraId="3C436ED2">
            <w:pPr>
              <w:pStyle w:val="21"/>
              <w:spacing w:before="7" w:line="220" w:lineRule="auto"/>
              <w:ind w:left="202"/>
              <w:rPr>
                <w:rFonts w:hint="eastAsia" w:ascii="仿宋" w:hAnsi="仿宋" w:eastAsia="仿宋" w:cs="仿宋"/>
                <w:color w:val="auto"/>
                <w:highlight w:val="none"/>
              </w:rPr>
            </w:pPr>
            <w:r>
              <w:rPr>
                <w:rFonts w:hint="eastAsia" w:ascii="仿宋" w:hAnsi="仿宋" w:eastAsia="仿宋" w:cs="仿宋"/>
                <w:color w:val="auto"/>
                <w:spacing w:val="-21"/>
                <w:highlight w:val="none"/>
              </w:rPr>
              <w:t>日止</w:t>
            </w:r>
          </w:p>
        </w:tc>
      </w:tr>
    </w:tbl>
    <w:p w14:paraId="2194EDBB">
      <w:pPr>
        <w:rPr>
          <w:rFonts w:hint="eastAsia" w:ascii="仿宋" w:hAnsi="仿宋" w:eastAsia="仿宋" w:cs="仿宋"/>
          <w:color w:val="auto"/>
          <w:highlight w:val="none"/>
        </w:rPr>
        <w:sectPr>
          <w:footerReference r:id="rId27" w:type="default"/>
          <w:pgSz w:w="11905" w:h="16838"/>
          <w:pgMar w:top="1020" w:right="1134" w:bottom="1020" w:left="1134" w:header="0" w:footer="573" w:gutter="0"/>
          <w:pgNumType w:fmt="decimal"/>
          <w:cols w:space="0" w:num="1"/>
          <w:rtlGutter w:val="0"/>
          <w:docGrid w:linePitch="0" w:charSpace="0"/>
        </w:sectPr>
      </w:pPr>
    </w:p>
    <w:p w14:paraId="4549673E">
      <w:pPr>
        <w:pStyle w:val="4"/>
        <w:spacing w:line="253" w:lineRule="auto"/>
        <w:rPr>
          <w:rFonts w:hint="eastAsia" w:ascii="仿宋" w:hAnsi="仿宋" w:eastAsia="仿宋" w:cs="仿宋"/>
          <w:color w:val="auto"/>
          <w:highlight w:val="none"/>
        </w:rPr>
      </w:pPr>
    </w:p>
    <w:p w14:paraId="43119587">
      <w:pPr>
        <w:spacing w:before="163" w:line="388" w:lineRule="exact"/>
        <w:ind w:left="2381"/>
        <w:outlineLvl w:val="2"/>
        <w:rPr>
          <w:rFonts w:hint="eastAsia" w:ascii="仿宋" w:hAnsi="仿宋" w:eastAsia="仿宋" w:cs="仿宋"/>
          <w:color w:val="auto"/>
          <w:sz w:val="38"/>
          <w:szCs w:val="38"/>
          <w:highlight w:val="none"/>
        </w:rPr>
      </w:pPr>
      <w:r>
        <w:rPr>
          <w:rFonts w:hint="eastAsia" w:ascii="仿宋" w:hAnsi="仿宋" w:eastAsia="仿宋" w:cs="仿宋"/>
          <w:color w:val="auto"/>
          <w:spacing w:val="-13"/>
          <w:w w:val="97"/>
          <w:position w:val="-2"/>
          <w:sz w:val="38"/>
          <w:szCs w:val="38"/>
          <w:highlight w:val="none"/>
        </w:rPr>
        <w:t>第七部分</w:t>
      </w:r>
      <w:r>
        <w:rPr>
          <w:rFonts w:hint="eastAsia" w:ascii="仿宋" w:hAnsi="仿宋" w:eastAsia="仿宋" w:cs="仿宋"/>
          <w:color w:val="auto"/>
          <w:spacing w:val="68"/>
          <w:position w:val="-2"/>
          <w:sz w:val="38"/>
          <w:szCs w:val="38"/>
          <w:highlight w:val="none"/>
        </w:rPr>
        <w:t xml:space="preserve"> </w:t>
      </w:r>
      <w:r>
        <w:rPr>
          <w:rFonts w:hint="eastAsia" w:ascii="仿宋" w:hAnsi="仿宋" w:eastAsia="仿宋" w:cs="仿宋"/>
          <w:color w:val="auto"/>
          <w:spacing w:val="-13"/>
          <w:w w:val="97"/>
          <w:position w:val="-2"/>
          <w:sz w:val="38"/>
          <w:szCs w:val="38"/>
          <w:highlight w:val="none"/>
        </w:rPr>
        <w:t>响应文件格式</w:t>
      </w:r>
    </w:p>
    <w:p w14:paraId="709B3736">
      <w:pPr>
        <w:pStyle w:val="4"/>
        <w:spacing w:line="266" w:lineRule="auto"/>
        <w:rPr>
          <w:rFonts w:hint="eastAsia" w:ascii="仿宋" w:hAnsi="仿宋" w:eastAsia="仿宋" w:cs="仿宋"/>
          <w:color w:val="auto"/>
          <w:highlight w:val="none"/>
        </w:rPr>
      </w:pPr>
    </w:p>
    <w:p w14:paraId="130A9C2C">
      <w:pPr>
        <w:pStyle w:val="4"/>
        <w:spacing w:line="267" w:lineRule="auto"/>
        <w:rPr>
          <w:rFonts w:hint="eastAsia" w:ascii="仿宋" w:hAnsi="仿宋" w:eastAsia="仿宋" w:cs="仿宋"/>
          <w:color w:val="auto"/>
          <w:highlight w:val="none"/>
        </w:rPr>
      </w:pPr>
    </w:p>
    <w:p w14:paraId="4E012FEA">
      <w:pPr>
        <w:pStyle w:val="4"/>
        <w:spacing w:line="267" w:lineRule="auto"/>
        <w:rPr>
          <w:rFonts w:hint="eastAsia" w:ascii="仿宋" w:hAnsi="仿宋" w:eastAsia="仿宋" w:cs="仿宋"/>
          <w:color w:val="auto"/>
          <w:highlight w:val="none"/>
        </w:rPr>
      </w:pPr>
    </w:p>
    <w:p w14:paraId="6D6918B1">
      <w:pPr>
        <w:pStyle w:val="4"/>
        <w:spacing w:line="267" w:lineRule="auto"/>
        <w:rPr>
          <w:rFonts w:hint="eastAsia" w:ascii="仿宋" w:hAnsi="仿宋" w:eastAsia="仿宋" w:cs="仿宋"/>
          <w:color w:val="auto"/>
          <w:highlight w:val="none"/>
        </w:rPr>
      </w:pPr>
    </w:p>
    <w:p w14:paraId="35248611">
      <w:pPr>
        <w:spacing w:before="75" w:line="227" w:lineRule="auto"/>
        <w:ind w:left="193"/>
        <w:jc w:val="center"/>
        <w:rPr>
          <w:rFonts w:hint="eastAsia" w:ascii="仿宋" w:hAnsi="仿宋" w:eastAsia="仿宋" w:cs="仿宋"/>
          <w:color w:val="auto"/>
          <w:sz w:val="30"/>
          <w:szCs w:val="30"/>
          <w:highlight w:val="none"/>
        </w:rPr>
      </w:pPr>
      <w:r>
        <w:rPr>
          <w:rFonts w:hint="eastAsia" w:ascii="仿宋" w:hAnsi="仿宋" w:eastAsia="仿宋" w:cs="仿宋"/>
          <w:color w:val="auto"/>
          <w:spacing w:val="7"/>
          <w:sz w:val="30"/>
          <w:szCs w:val="30"/>
          <w:highlight w:val="none"/>
        </w:rPr>
        <w:t>第一部分 资格证明文件</w:t>
      </w:r>
    </w:p>
    <w:p w14:paraId="55A1E3D4">
      <w:pPr>
        <w:spacing w:before="80" w:line="360" w:lineRule="auto"/>
        <w:rPr>
          <w:rFonts w:hint="eastAsia" w:ascii="仿宋" w:hAnsi="仿宋" w:eastAsia="仿宋" w:cs="仿宋"/>
          <w:snapToGrid w:val="0"/>
          <w:color w:val="auto"/>
          <w:kern w:val="0"/>
          <w:sz w:val="24"/>
          <w:szCs w:val="24"/>
          <w:highlight w:val="none"/>
          <w:lang w:val="en-US" w:eastAsia="zh-CN" w:bidi="ar-SA"/>
        </w:rPr>
      </w:pPr>
    </w:p>
    <w:p w14:paraId="403B7950">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1、具备三证合一营业执照副本；</w:t>
      </w:r>
    </w:p>
    <w:p w14:paraId="35EE8062">
      <w:pPr>
        <w:spacing w:before="80" w:line="360" w:lineRule="auto"/>
        <w:ind w:firstLine="480" w:firstLineChars="200"/>
        <w:rPr>
          <w:rFonts w:hint="default"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2、法定代表人身份证明书；</w:t>
      </w:r>
    </w:p>
    <w:p w14:paraId="3B0DAC31">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3、投标企业须提供投标人（被授权在职人员）近6个月内任意1个月社保证明；</w:t>
      </w:r>
    </w:p>
    <w:p w14:paraId="39DE2865">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4、未被列入信用中国网（www.creditchina.gov.cn）及中国政府采购网 (www.ccgp.gov.cn）失信被执行人名单、重大税 收违法失信主体、政府采购严重违法失信行为记录名单；</w:t>
      </w:r>
    </w:p>
    <w:p w14:paraId="5CD0C2ED">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5、具有良好的商业信誉和健全的财务会计制度的证明文件（近三年）；</w:t>
      </w:r>
    </w:p>
    <w:p w14:paraId="2E8908B0">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6、参加政府采购活动前3年内在经营活动中没有重大违法记录的书面声明；</w:t>
      </w:r>
    </w:p>
    <w:p w14:paraId="590DB683">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7、特定资质：【标项1】投标企业须具备行政主管部门颁发的测绘乙级及以上资质证书；</w:t>
      </w:r>
    </w:p>
    <w:p w14:paraId="6E5C8CB5">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【标项5】</w:t>
      </w:r>
      <w:r>
        <w:rPr>
          <w:rFonts w:hint="eastAsia" w:ascii="仿宋" w:hAnsi="仿宋" w:eastAsia="仿宋" w:cs="仿宋"/>
          <w:color w:val="auto"/>
          <w:sz w:val="24"/>
          <w:szCs w:val="24"/>
          <w:highlight w:val="none"/>
        </w:rPr>
        <w:t>投标企业须</w:t>
      </w:r>
      <w:r>
        <w:rPr>
          <w:rFonts w:hint="eastAsia" w:ascii="仿宋" w:hAnsi="仿宋" w:eastAsia="仿宋" w:cs="仿宋"/>
          <w:color w:val="auto"/>
          <w:sz w:val="24"/>
          <w:szCs w:val="24"/>
          <w:highlight w:val="none"/>
          <w:lang w:val="en-US" w:eastAsia="zh-CN"/>
        </w:rPr>
        <w:t>具备</w:t>
      </w:r>
      <w:r>
        <w:rPr>
          <w:rFonts w:hint="eastAsia" w:ascii="仿宋" w:hAnsi="仿宋" w:eastAsia="仿宋" w:cs="仿宋"/>
          <w:color w:val="auto"/>
          <w:sz w:val="24"/>
          <w:szCs w:val="24"/>
          <w:highlight w:val="none"/>
        </w:rPr>
        <w:t>国家行政主管部门合法登记注册，并具备有效的公证机构执业证书</w:t>
      </w:r>
      <w:r>
        <w:rPr>
          <w:rFonts w:hint="eastAsia" w:ascii="仿宋" w:hAnsi="仿宋" w:eastAsia="仿宋" w:cs="仿宋"/>
          <w:snapToGrid w:val="0"/>
          <w:color w:val="auto"/>
          <w:kern w:val="0"/>
          <w:sz w:val="24"/>
          <w:szCs w:val="24"/>
          <w:highlight w:val="none"/>
          <w:lang w:val="en-US" w:eastAsia="zh-CN" w:bidi="ar-SA"/>
        </w:rPr>
        <w:t>；</w:t>
      </w:r>
    </w:p>
    <w:p w14:paraId="16469367">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【标项7】</w:t>
      </w:r>
      <w:r>
        <w:rPr>
          <w:rFonts w:hint="eastAsia" w:ascii="仿宋" w:hAnsi="仿宋" w:eastAsia="仿宋" w:cs="仿宋"/>
          <w:color w:val="auto"/>
          <w:sz w:val="24"/>
          <w:szCs w:val="24"/>
          <w:highlight w:val="none"/>
        </w:rPr>
        <w:t>投标企业须</w:t>
      </w:r>
      <w:r>
        <w:rPr>
          <w:rFonts w:hint="eastAsia" w:ascii="仿宋" w:hAnsi="仿宋" w:eastAsia="仿宋" w:cs="仿宋"/>
          <w:color w:val="auto"/>
          <w:sz w:val="24"/>
          <w:szCs w:val="24"/>
          <w:highlight w:val="none"/>
          <w:lang w:val="en-US" w:eastAsia="zh-CN"/>
        </w:rPr>
        <w:t>具备[施工总承包·建筑工程·建筑工程二级](含)以上；施工项目负责人资质类别和等级：具有建筑工程专业二级注册建造师执业资格及有效的安全生产考核合格证书，且未担任其他在建建设工程项目的项目负责人，外省投标企业须提供《新疆维吾尔自治区区外建设工程企业信息登记册》或http://jsy.xjjs.gov.cn/下载审核通过的信息报送册</w:t>
      </w:r>
      <w:r>
        <w:rPr>
          <w:rFonts w:hint="eastAsia" w:ascii="仿宋" w:hAnsi="仿宋" w:eastAsia="仿宋" w:cs="仿宋"/>
          <w:snapToGrid w:val="0"/>
          <w:color w:val="auto"/>
          <w:kern w:val="0"/>
          <w:sz w:val="24"/>
          <w:szCs w:val="24"/>
          <w:highlight w:val="none"/>
          <w:lang w:val="en-US" w:eastAsia="zh-CN" w:bidi="ar-SA"/>
        </w:rPr>
        <w:t>；</w:t>
      </w:r>
    </w:p>
    <w:p w14:paraId="13D60B67">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【标项8】投标企业项目负责人须具备在本单位注册的土木建筑工程专业一级注册造价师；</w:t>
      </w:r>
    </w:p>
    <w:p w14:paraId="7F04B12B">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snapToGrid w:val="0"/>
          <w:color w:val="auto"/>
          <w:kern w:val="0"/>
          <w:sz w:val="24"/>
          <w:szCs w:val="24"/>
          <w:highlight w:val="none"/>
          <w:lang w:val="en-US" w:eastAsia="zh-CN" w:bidi="ar-SA"/>
        </w:rPr>
        <w:t>【标项9】</w:t>
      </w:r>
      <w:r>
        <w:rPr>
          <w:rFonts w:hint="eastAsia" w:ascii="仿宋" w:hAnsi="仿宋" w:eastAsia="仿宋" w:cs="仿宋"/>
          <w:color w:val="auto"/>
          <w:sz w:val="24"/>
          <w:szCs w:val="24"/>
          <w:highlight w:val="none"/>
          <w:lang w:val="en-US" w:eastAsia="zh-CN"/>
        </w:rPr>
        <w:t>投标企业须具备国家许可和备案的(房地产估价机构备案证书)三级(含三级)及以上资质；拟任项目负责人具有房地产估价师资格。</w:t>
      </w:r>
    </w:p>
    <w:p w14:paraId="100555C8">
      <w:pPr>
        <w:spacing w:before="80" w:line="360" w:lineRule="auto"/>
        <w:ind w:firstLine="480" w:firstLineChars="200"/>
        <w:rPr>
          <w:rFonts w:hint="eastAsia" w:ascii="仿宋" w:hAnsi="仿宋" w:eastAsia="仿宋" w:cs="仿宋"/>
          <w:snapToGrid w:val="0"/>
          <w:color w:val="auto"/>
          <w:kern w:val="0"/>
          <w:sz w:val="24"/>
          <w:szCs w:val="24"/>
          <w:highlight w:val="none"/>
          <w:lang w:val="en-US" w:eastAsia="zh-CN" w:bidi="ar-SA"/>
        </w:rPr>
        <w:sectPr>
          <w:footerReference r:id="rId28"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snapToGrid w:val="0"/>
          <w:color w:val="auto"/>
          <w:kern w:val="0"/>
          <w:sz w:val="24"/>
          <w:szCs w:val="24"/>
          <w:highlight w:val="none"/>
          <w:lang w:val="en-US" w:eastAsia="zh-CN" w:bidi="ar-SA"/>
        </w:rPr>
        <w:t>8、供应商须知资料表要求的其他资格证明文件（格式自拟）</w:t>
      </w:r>
    </w:p>
    <w:p w14:paraId="76FCBFD2">
      <w:pPr>
        <w:pStyle w:val="4"/>
        <w:spacing w:line="271" w:lineRule="auto"/>
        <w:rPr>
          <w:rFonts w:hint="eastAsia" w:ascii="仿宋" w:hAnsi="仿宋" w:eastAsia="仿宋" w:cs="仿宋"/>
          <w:color w:val="auto"/>
          <w:highlight w:val="none"/>
        </w:rPr>
      </w:pPr>
    </w:p>
    <w:p w14:paraId="43596E91">
      <w:pPr>
        <w:spacing w:before="75" w:line="227" w:lineRule="auto"/>
        <w:ind w:left="607"/>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1、具备三证合一营业执照副本</w:t>
      </w:r>
    </w:p>
    <w:p w14:paraId="4C275315">
      <w:pPr>
        <w:pStyle w:val="4"/>
        <w:spacing w:line="250" w:lineRule="auto"/>
        <w:rPr>
          <w:rFonts w:hint="eastAsia" w:ascii="仿宋" w:hAnsi="仿宋" w:eastAsia="仿宋" w:cs="仿宋"/>
          <w:color w:val="auto"/>
          <w:highlight w:val="none"/>
        </w:rPr>
      </w:pPr>
    </w:p>
    <w:p w14:paraId="022835A8">
      <w:pPr>
        <w:pStyle w:val="4"/>
        <w:spacing w:line="251" w:lineRule="auto"/>
        <w:rPr>
          <w:rFonts w:hint="eastAsia" w:ascii="仿宋" w:hAnsi="仿宋" w:eastAsia="仿宋" w:cs="仿宋"/>
          <w:color w:val="auto"/>
          <w:highlight w:val="none"/>
        </w:rPr>
      </w:pPr>
    </w:p>
    <w:p w14:paraId="25ABFC74">
      <w:pPr>
        <w:pStyle w:val="4"/>
        <w:spacing w:line="251" w:lineRule="auto"/>
        <w:rPr>
          <w:rFonts w:hint="eastAsia" w:ascii="仿宋" w:hAnsi="仿宋" w:eastAsia="仿宋" w:cs="仿宋"/>
          <w:color w:val="auto"/>
          <w:highlight w:val="none"/>
        </w:rPr>
      </w:pPr>
    </w:p>
    <w:p w14:paraId="42B7F727">
      <w:pPr>
        <w:pStyle w:val="4"/>
        <w:spacing w:line="251" w:lineRule="auto"/>
        <w:rPr>
          <w:rFonts w:hint="eastAsia" w:ascii="仿宋" w:hAnsi="仿宋" w:eastAsia="仿宋" w:cs="仿宋"/>
          <w:color w:val="auto"/>
          <w:highlight w:val="none"/>
        </w:rPr>
      </w:pPr>
    </w:p>
    <w:p w14:paraId="203C24AF">
      <w:pPr>
        <w:pStyle w:val="4"/>
        <w:spacing w:line="251" w:lineRule="auto"/>
        <w:rPr>
          <w:rFonts w:hint="eastAsia" w:ascii="仿宋" w:hAnsi="仿宋" w:eastAsia="仿宋" w:cs="仿宋"/>
          <w:color w:val="auto"/>
          <w:highlight w:val="none"/>
        </w:rPr>
      </w:pPr>
    </w:p>
    <w:p w14:paraId="2500CD59">
      <w:pPr>
        <w:pStyle w:val="4"/>
        <w:spacing w:line="251" w:lineRule="auto"/>
        <w:rPr>
          <w:rFonts w:hint="eastAsia" w:ascii="仿宋" w:hAnsi="仿宋" w:eastAsia="仿宋" w:cs="仿宋"/>
          <w:color w:val="auto"/>
          <w:highlight w:val="none"/>
        </w:rPr>
      </w:pPr>
    </w:p>
    <w:p w14:paraId="164E1334">
      <w:pPr>
        <w:spacing w:before="74" w:line="227" w:lineRule="auto"/>
        <w:ind w:left="657"/>
        <w:rPr>
          <w:rFonts w:hint="eastAsia" w:ascii="仿宋" w:hAnsi="仿宋" w:eastAsia="仿宋" w:cs="仿宋"/>
          <w:color w:val="auto"/>
          <w:sz w:val="23"/>
          <w:szCs w:val="23"/>
          <w:highlight w:val="none"/>
        </w:rPr>
        <w:sectPr>
          <w:footerReference r:id="rId29"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z w:val="23"/>
          <w:szCs w:val="23"/>
          <w:highlight w:val="none"/>
        </w:rPr>
        <w:t>说明：</w:t>
      </w:r>
      <w:r>
        <w:rPr>
          <w:rFonts w:hint="eastAsia" w:ascii="仿宋" w:hAnsi="仿宋" w:eastAsia="仿宋" w:cs="仿宋"/>
          <w:color w:val="auto"/>
          <w:spacing w:val="34"/>
          <w:sz w:val="23"/>
          <w:szCs w:val="23"/>
          <w:highlight w:val="none"/>
        </w:rPr>
        <w:t xml:space="preserve"> </w:t>
      </w:r>
      <w:r>
        <w:rPr>
          <w:rFonts w:hint="eastAsia" w:ascii="仿宋" w:hAnsi="仿宋" w:eastAsia="仿宋" w:cs="仿宋"/>
          <w:color w:val="auto"/>
          <w:sz w:val="23"/>
          <w:szCs w:val="23"/>
          <w:highlight w:val="none"/>
        </w:rPr>
        <w:t>1.提供有效的营业执照等证明文件复印件， 复印件上</w:t>
      </w:r>
      <w:r>
        <w:rPr>
          <w:rFonts w:hint="eastAsia" w:ascii="仿宋" w:hAnsi="仿宋" w:eastAsia="仿宋" w:cs="仿宋"/>
          <w:color w:val="auto"/>
          <w:spacing w:val="-1"/>
          <w:sz w:val="23"/>
          <w:szCs w:val="23"/>
          <w:highlight w:val="none"/>
        </w:rPr>
        <w:t>应加盖公章。</w:t>
      </w:r>
    </w:p>
    <w:p w14:paraId="60CDF8AC">
      <w:pPr>
        <w:pStyle w:val="4"/>
        <w:spacing w:line="271" w:lineRule="auto"/>
        <w:rPr>
          <w:rFonts w:hint="eastAsia" w:ascii="仿宋" w:hAnsi="仿宋" w:eastAsia="仿宋" w:cs="仿宋"/>
          <w:color w:val="auto"/>
          <w:highlight w:val="none"/>
        </w:rPr>
      </w:pPr>
    </w:p>
    <w:p w14:paraId="11F566FE">
      <w:pPr>
        <w:spacing w:before="75" w:line="227" w:lineRule="auto"/>
        <w:ind w:left="663"/>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2、法定代表人身份证明书</w:t>
      </w:r>
    </w:p>
    <w:p w14:paraId="1EB052F2">
      <w:pPr>
        <w:spacing w:before="186" w:line="227" w:lineRule="auto"/>
        <w:ind w:left="3359" w:firstLine="678" w:firstLineChars="300"/>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u w:val="single" w:color="auto"/>
        </w:rPr>
        <w:t>(响应文件格式一)</w:t>
      </w:r>
    </w:p>
    <w:p w14:paraId="51D38A2A">
      <w:pPr>
        <w:pStyle w:val="4"/>
        <w:spacing w:line="259" w:lineRule="auto"/>
        <w:rPr>
          <w:rFonts w:hint="eastAsia" w:ascii="仿宋" w:hAnsi="仿宋" w:eastAsia="仿宋" w:cs="仿宋"/>
          <w:color w:val="auto"/>
          <w:highlight w:val="none"/>
        </w:rPr>
      </w:pPr>
    </w:p>
    <w:p w14:paraId="301D35E3">
      <w:pPr>
        <w:pStyle w:val="4"/>
        <w:spacing w:line="259" w:lineRule="auto"/>
        <w:rPr>
          <w:rFonts w:hint="eastAsia" w:ascii="仿宋" w:hAnsi="仿宋" w:eastAsia="仿宋" w:cs="仿宋"/>
          <w:color w:val="auto"/>
          <w:highlight w:val="none"/>
        </w:rPr>
      </w:pPr>
    </w:p>
    <w:p w14:paraId="7E47206A">
      <w:pPr>
        <w:pStyle w:val="4"/>
        <w:spacing w:line="259" w:lineRule="auto"/>
        <w:rPr>
          <w:rFonts w:hint="eastAsia" w:ascii="仿宋" w:hAnsi="仿宋" w:eastAsia="仿宋" w:cs="仿宋"/>
          <w:color w:val="auto"/>
          <w:highlight w:val="none"/>
        </w:rPr>
      </w:pPr>
    </w:p>
    <w:p w14:paraId="4D0498AE">
      <w:pPr>
        <w:pStyle w:val="4"/>
        <w:spacing w:line="260" w:lineRule="auto"/>
        <w:rPr>
          <w:rFonts w:hint="eastAsia" w:ascii="仿宋" w:hAnsi="仿宋" w:eastAsia="仿宋" w:cs="仿宋"/>
          <w:color w:val="auto"/>
          <w:highlight w:val="none"/>
        </w:rPr>
      </w:pPr>
    </w:p>
    <w:p w14:paraId="52B89B3C">
      <w:pPr>
        <w:spacing w:before="75" w:line="227" w:lineRule="auto"/>
        <w:ind w:left="48"/>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u w:val="single" w:color="auto"/>
        </w:rPr>
        <w:t>致（征集人名称</w:t>
      </w:r>
      <w:r>
        <w:rPr>
          <w:rFonts w:hint="eastAsia" w:ascii="仿宋" w:hAnsi="仿宋" w:eastAsia="仿宋" w:cs="仿宋"/>
          <w:color w:val="auto"/>
          <w:spacing w:val="2"/>
          <w:sz w:val="23"/>
          <w:szCs w:val="23"/>
          <w:highlight w:val="none"/>
          <w:u w:val="single" w:color="auto"/>
        </w:rPr>
        <w:t>）</w:t>
      </w:r>
      <w:r>
        <w:rPr>
          <w:rFonts w:hint="eastAsia" w:ascii="仿宋" w:hAnsi="仿宋" w:eastAsia="仿宋" w:cs="仿宋"/>
          <w:color w:val="auto"/>
          <w:spacing w:val="2"/>
          <w:sz w:val="23"/>
          <w:szCs w:val="23"/>
          <w:highlight w:val="none"/>
        </w:rPr>
        <w:t>：</w:t>
      </w:r>
    </w:p>
    <w:p w14:paraId="7D115264">
      <w:pPr>
        <w:pStyle w:val="4"/>
        <w:spacing w:line="298" w:lineRule="auto"/>
        <w:rPr>
          <w:rFonts w:hint="eastAsia" w:ascii="仿宋" w:hAnsi="仿宋" w:eastAsia="仿宋" w:cs="仿宋"/>
          <w:color w:val="auto"/>
          <w:highlight w:val="none"/>
        </w:rPr>
      </w:pPr>
    </w:p>
    <w:p w14:paraId="28B5963B">
      <w:pPr>
        <w:pStyle w:val="4"/>
        <w:spacing w:line="298" w:lineRule="auto"/>
        <w:rPr>
          <w:rFonts w:hint="eastAsia" w:ascii="仿宋" w:hAnsi="仿宋" w:eastAsia="仿宋" w:cs="仿宋"/>
          <w:color w:val="auto"/>
          <w:highlight w:val="none"/>
        </w:rPr>
      </w:pPr>
    </w:p>
    <w:p w14:paraId="5FAA37F4">
      <w:pPr>
        <w:tabs>
          <w:tab w:val="left" w:pos="1558"/>
        </w:tabs>
        <w:spacing w:before="75" w:line="358" w:lineRule="auto"/>
        <w:ind w:left="447"/>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u w:val="single" w:color="auto"/>
        </w:rPr>
        <w:tab/>
      </w:r>
      <w:r>
        <w:rPr>
          <w:rFonts w:hint="eastAsia" w:ascii="仿宋" w:hAnsi="仿宋" w:eastAsia="仿宋" w:cs="仿宋"/>
          <w:color w:val="auto"/>
          <w:spacing w:val="1"/>
          <w:sz w:val="23"/>
          <w:szCs w:val="23"/>
          <w:highlight w:val="none"/>
          <w:u w:val="single" w:color="auto"/>
        </w:rPr>
        <w:t>（姓名、性别、年龄、身份证号码）</w:t>
      </w:r>
      <w:r>
        <w:rPr>
          <w:rFonts w:hint="eastAsia" w:ascii="仿宋" w:hAnsi="仿宋" w:eastAsia="仿宋" w:cs="仿宋"/>
          <w:color w:val="auto"/>
          <w:spacing w:val="1"/>
          <w:sz w:val="23"/>
          <w:szCs w:val="23"/>
          <w:highlight w:val="none"/>
        </w:rPr>
        <w:t>在我单位任</w:t>
      </w:r>
      <w:r>
        <w:rPr>
          <w:rFonts w:hint="eastAsia" w:ascii="仿宋" w:hAnsi="仿宋" w:eastAsia="仿宋" w:cs="仿宋"/>
          <w:color w:val="auto"/>
          <w:spacing w:val="1"/>
          <w:sz w:val="23"/>
          <w:szCs w:val="23"/>
          <w:highlight w:val="none"/>
          <w:u w:val="single" w:color="auto"/>
        </w:rPr>
        <w:t xml:space="preserve">       （董事长、</w:t>
      </w:r>
    </w:p>
    <w:p w14:paraId="617789A4">
      <w:pPr>
        <w:spacing w:line="227" w:lineRule="auto"/>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u w:val="single" w:color="auto"/>
        </w:rPr>
        <w:t>总经理等）</w:t>
      </w:r>
      <w:r>
        <w:rPr>
          <w:rFonts w:hint="eastAsia" w:ascii="仿宋" w:hAnsi="仿宋" w:eastAsia="仿宋" w:cs="仿宋"/>
          <w:color w:val="auto"/>
          <w:spacing w:val="6"/>
          <w:sz w:val="23"/>
          <w:szCs w:val="23"/>
          <w:highlight w:val="none"/>
        </w:rPr>
        <w:t>职务，是我单位的法定代表人。</w:t>
      </w:r>
    </w:p>
    <w:p w14:paraId="6CB94284">
      <w:pPr>
        <w:pStyle w:val="4"/>
        <w:spacing w:line="259" w:lineRule="auto"/>
        <w:rPr>
          <w:rFonts w:hint="eastAsia" w:ascii="仿宋" w:hAnsi="仿宋" w:eastAsia="仿宋" w:cs="仿宋"/>
          <w:color w:val="auto"/>
          <w:highlight w:val="none"/>
        </w:rPr>
      </w:pPr>
    </w:p>
    <w:p w14:paraId="2A35DE9C">
      <w:pPr>
        <w:pStyle w:val="4"/>
        <w:spacing w:line="259" w:lineRule="auto"/>
        <w:rPr>
          <w:rFonts w:hint="eastAsia" w:ascii="仿宋" w:hAnsi="仿宋" w:eastAsia="仿宋" w:cs="仿宋"/>
          <w:color w:val="auto"/>
          <w:highlight w:val="none"/>
        </w:rPr>
      </w:pPr>
    </w:p>
    <w:p w14:paraId="26BF5F48">
      <w:pPr>
        <w:pStyle w:val="4"/>
        <w:spacing w:line="259" w:lineRule="auto"/>
        <w:rPr>
          <w:rFonts w:hint="eastAsia" w:ascii="仿宋" w:hAnsi="仿宋" w:eastAsia="仿宋" w:cs="仿宋"/>
          <w:color w:val="auto"/>
          <w:highlight w:val="none"/>
        </w:rPr>
      </w:pPr>
    </w:p>
    <w:p w14:paraId="340F9E54">
      <w:pPr>
        <w:pStyle w:val="4"/>
        <w:spacing w:line="260" w:lineRule="auto"/>
        <w:rPr>
          <w:rFonts w:hint="eastAsia" w:ascii="仿宋" w:hAnsi="仿宋" w:eastAsia="仿宋" w:cs="仿宋"/>
          <w:color w:val="auto"/>
          <w:highlight w:val="none"/>
        </w:rPr>
      </w:pPr>
    </w:p>
    <w:p w14:paraId="54B75BDD">
      <w:pPr>
        <w:spacing w:before="75" w:line="227" w:lineRule="auto"/>
        <w:ind w:left="732"/>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特此证明。</w:t>
      </w:r>
    </w:p>
    <w:p w14:paraId="46AB8A7E">
      <w:pPr>
        <w:pStyle w:val="4"/>
        <w:spacing w:line="286" w:lineRule="auto"/>
        <w:rPr>
          <w:rFonts w:hint="eastAsia" w:ascii="仿宋" w:hAnsi="仿宋" w:eastAsia="仿宋" w:cs="仿宋"/>
          <w:color w:val="auto"/>
          <w:highlight w:val="none"/>
        </w:rPr>
      </w:pPr>
    </w:p>
    <w:p w14:paraId="016609FA">
      <w:pPr>
        <w:pStyle w:val="4"/>
        <w:spacing w:line="287" w:lineRule="auto"/>
        <w:rPr>
          <w:rFonts w:hint="eastAsia" w:ascii="仿宋" w:hAnsi="仿宋" w:eastAsia="仿宋" w:cs="仿宋"/>
          <w:color w:val="auto"/>
          <w:highlight w:val="none"/>
        </w:rPr>
      </w:pPr>
    </w:p>
    <w:p w14:paraId="7ACB00A0">
      <w:pPr>
        <w:spacing w:before="75" w:line="227" w:lineRule="auto"/>
        <w:ind w:left="2920"/>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（附法定代表人身份证正反面）</w:t>
      </w:r>
    </w:p>
    <w:p w14:paraId="2DD951D0">
      <w:pPr>
        <w:pStyle w:val="4"/>
        <w:spacing w:line="250" w:lineRule="auto"/>
        <w:rPr>
          <w:rFonts w:hint="eastAsia" w:ascii="仿宋" w:hAnsi="仿宋" w:eastAsia="仿宋" w:cs="仿宋"/>
          <w:color w:val="auto"/>
          <w:highlight w:val="none"/>
        </w:rPr>
      </w:pPr>
    </w:p>
    <w:p w14:paraId="4062C075">
      <w:pPr>
        <w:pStyle w:val="4"/>
        <w:spacing w:line="250" w:lineRule="auto"/>
        <w:rPr>
          <w:rFonts w:hint="eastAsia" w:ascii="仿宋" w:hAnsi="仿宋" w:eastAsia="仿宋" w:cs="仿宋"/>
          <w:color w:val="auto"/>
          <w:highlight w:val="none"/>
        </w:rPr>
      </w:pPr>
    </w:p>
    <w:p w14:paraId="7D4E0786">
      <w:pPr>
        <w:pStyle w:val="4"/>
        <w:spacing w:line="250" w:lineRule="auto"/>
        <w:rPr>
          <w:rFonts w:hint="eastAsia" w:ascii="仿宋" w:hAnsi="仿宋" w:eastAsia="仿宋" w:cs="仿宋"/>
          <w:color w:val="auto"/>
          <w:highlight w:val="none"/>
        </w:rPr>
      </w:pPr>
    </w:p>
    <w:p w14:paraId="1D35C91A">
      <w:pPr>
        <w:pStyle w:val="4"/>
        <w:spacing w:line="250" w:lineRule="auto"/>
        <w:rPr>
          <w:rFonts w:hint="eastAsia" w:ascii="仿宋" w:hAnsi="仿宋" w:eastAsia="仿宋" w:cs="仿宋"/>
          <w:color w:val="auto"/>
          <w:highlight w:val="none"/>
        </w:rPr>
      </w:pPr>
    </w:p>
    <w:p w14:paraId="455582B6">
      <w:pPr>
        <w:pStyle w:val="4"/>
        <w:spacing w:line="251" w:lineRule="auto"/>
        <w:rPr>
          <w:rFonts w:hint="eastAsia" w:ascii="仿宋" w:hAnsi="仿宋" w:eastAsia="仿宋" w:cs="仿宋"/>
          <w:color w:val="auto"/>
          <w:highlight w:val="none"/>
        </w:rPr>
      </w:pPr>
    </w:p>
    <w:p w14:paraId="20BA8D59">
      <w:pPr>
        <w:pStyle w:val="4"/>
        <w:spacing w:line="251" w:lineRule="auto"/>
        <w:rPr>
          <w:rFonts w:hint="eastAsia" w:ascii="仿宋" w:hAnsi="仿宋" w:eastAsia="仿宋" w:cs="仿宋"/>
          <w:color w:val="auto"/>
          <w:highlight w:val="none"/>
        </w:rPr>
      </w:pPr>
    </w:p>
    <w:p w14:paraId="678318B0">
      <w:pPr>
        <w:spacing w:before="75" w:line="227" w:lineRule="auto"/>
        <w:ind w:left="40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供应商（盖公章</w:t>
      </w:r>
      <w:r>
        <w:rPr>
          <w:rFonts w:hint="eastAsia" w:ascii="仿宋" w:hAnsi="仿宋" w:eastAsia="仿宋" w:cs="仿宋"/>
          <w:color w:val="auto"/>
          <w:spacing w:val="-37"/>
          <w:sz w:val="23"/>
          <w:szCs w:val="23"/>
          <w:highlight w:val="none"/>
        </w:rPr>
        <w:t>）：</w:t>
      </w:r>
      <w:r>
        <w:rPr>
          <w:rFonts w:hint="eastAsia" w:ascii="仿宋" w:hAnsi="仿宋" w:eastAsia="仿宋" w:cs="仿宋"/>
          <w:color w:val="auto"/>
          <w:spacing w:val="-17"/>
          <w:sz w:val="23"/>
          <w:szCs w:val="23"/>
          <w:highlight w:val="none"/>
        </w:rPr>
        <w:t xml:space="preserve"> </w:t>
      </w:r>
      <w:r>
        <w:rPr>
          <w:rFonts w:hint="eastAsia" w:ascii="仿宋" w:hAnsi="仿宋" w:eastAsia="仿宋" w:cs="仿宋"/>
          <w:color w:val="auto"/>
          <w:sz w:val="23"/>
          <w:szCs w:val="23"/>
          <w:highlight w:val="none"/>
          <w:u w:val="single" w:color="auto"/>
        </w:rPr>
        <w:t xml:space="preserve">                               </w:t>
      </w:r>
    </w:p>
    <w:p w14:paraId="449009E4">
      <w:pPr>
        <w:spacing w:before="188" w:line="229" w:lineRule="auto"/>
        <w:ind w:left="550"/>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详细通讯地址：</w:t>
      </w:r>
      <w:r>
        <w:rPr>
          <w:rFonts w:hint="eastAsia" w:ascii="仿宋" w:hAnsi="仿宋" w:eastAsia="仿宋" w:cs="仿宋"/>
          <w:color w:val="auto"/>
          <w:sz w:val="23"/>
          <w:szCs w:val="23"/>
          <w:highlight w:val="none"/>
          <w:u w:val="single" w:color="auto"/>
        </w:rPr>
        <w:t xml:space="preserve">                                  </w:t>
      </w:r>
    </w:p>
    <w:p w14:paraId="3E8CCBB6">
      <w:pPr>
        <w:spacing w:before="181" w:line="227" w:lineRule="auto"/>
        <w:ind w:left="512"/>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邮 政</w:t>
      </w:r>
      <w:r>
        <w:rPr>
          <w:rFonts w:hint="eastAsia" w:ascii="仿宋" w:hAnsi="仿宋" w:eastAsia="仿宋" w:cs="仿宋"/>
          <w:color w:val="auto"/>
          <w:spacing w:val="9"/>
          <w:sz w:val="23"/>
          <w:szCs w:val="23"/>
          <w:highlight w:val="none"/>
        </w:rPr>
        <w:t xml:space="preserve"> </w:t>
      </w:r>
      <w:r>
        <w:rPr>
          <w:rFonts w:hint="eastAsia" w:ascii="仿宋" w:hAnsi="仿宋" w:eastAsia="仿宋" w:cs="仿宋"/>
          <w:color w:val="auto"/>
          <w:spacing w:val="-3"/>
          <w:sz w:val="23"/>
          <w:szCs w:val="23"/>
          <w:highlight w:val="none"/>
        </w:rPr>
        <w:t>编</w:t>
      </w:r>
      <w:r>
        <w:rPr>
          <w:rFonts w:hint="eastAsia" w:ascii="仿宋" w:hAnsi="仿宋" w:eastAsia="仿宋" w:cs="仿宋"/>
          <w:color w:val="auto"/>
          <w:spacing w:val="3"/>
          <w:sz w:val="23"/>
          <w:szCs w:val="23"/>
          <w:highlight w:val="none"/>
        </w:rPr>
        <w:t xml:space="preserve"> </w:t>
      </w:r>
      <w:r>
        <w:rPr>
          <w:rFonts w:hint="eastAsia" w:ascii="仿宋" w:hAnsi="仿宋" w:eastAsia="仿宋" w:cs="仿宋"/>
          <w:color w:val="auto"/>
          <w:spacing w:val="-3"/>
          <w:sz w:val="23"/>
          <w:szCs w:val="23"/>
          <w:highlight w:val="none"/>
        </w:rPr>
        <w:t>码</w:t>
      </w:r>
      <w:r>
        <w:rPr>
          <w:rFonts w:hint="eastAsia" w:ascii="仿宋" w:hAnsi="仿宋" w:eastAsia="仿宋" w:cs="仿宋"/>
          <w:color w:val="auto"/>
          <w:spacing w:val="18"/>
          <w:sz w:val="23"/>
          <w:szCs w:val="23"/>
          <w:highlight w:val="none"/>
        </w:rPr>
        <w:t xml:space="preserve"> </w:t>
      </w:r>
      <w:r>
        <w:rPr>
          <w:rFonts w:hint="eastAsia" w:ascii="仿宋" w:hAnsi="仿宋" w:eastAsia="仿宋" w:cs="仿宋"/>
          <w:color w:val="auto"/>
          <w:spacing w:val="-3"/>
          <w:sz w:val="23"/>
          <w:szCs w:val="23"/>
          <w:highlight w:val="none"/>
        </w:rPr>
        <w:t>：</w:t>
      </w:r>
      <w:r>
        <w:rPr>
          <w:rFonts w:hint="eastAsia" w:ascii="仿宋" w:hAnsi="仿宋" w:eastAsia="仿宋" w:cs="仿宋"/>
          <w:color w:val="auto"/>
          <w:sz w:val="23"/>
          <w:szCs w:val="23"/>
          <w:highlight w:val="none"/>
          <w:u w:val="single" w:color="auto"/>
        </w:rPr>
        <w:t xml:space="preserve">                                  </w:t>
      </w:r>
    </w:p>
    <w:p w14:paraId="2928AC64">
      <w:pPr>
        <w:spacing w:before="187" w:line="230" w:lineRule="auto"/>
        <w:ind w:left="532"/>
        <w:rPr>
          <w:rFonts w:hint="eastAsia" w:ascii="仿宋" w:hAnsi="仿宋" w:eastAsia="仿宋" w:cs="仿宋"/>
          <w:color w:val="auto"/>
          <w:sz w:val="23"/>
          <w:szCs w:val="23"/>
          <w:highlight w:val="none"/>
        </w:rPr>
      </w:pPr>
      <w:r>
        <w:rPr>
          <w:rFonts w:hint="eastAsia" w:ascii="仿宋" w:hAnsi="仿宋" w:eastAsia="仿宋" w:cs="仿宋"/>
          <w:color w:val="auto"/>
          <w:spacing w:val="-9"/>
          <w:sz w:val="23"/>
          <w:szCs w:val="23"/>
          <w:highlight w:val="none"/>
        </w:rPr>
        <w:t>电         话：</w:t>
      </w:r>
      <w:r>
        <w:rPr>
          <w:rFonts w:hint="eastAsia" w:ascii="仿宋" w:hAnsi="仿宋" w:eastAsia="仿宋" w:cs="仿宋"/>
          <w:color w:val="auto"/>
          <w:spacing w:val="-9"/>
          <w:sz w:val="23"/>
          <w:szCs w:val="23"/>
          <w:highlight w:val="none"/>
          <w:u w:val="single" w:color="auto"/>
        </w:rPr>
        <w:t xml:space="preserve">                                    </w:t>
      </w:r>
    </w:p>
    <w:p w14:paraId="0211A8A9">
      <w:pPr>
        <w:pStyle w:val="4"/>
        <w:spacing w:line="284" w:lineRule="auto"/>
        <w:rPr>
          <w:rFonts w:hint="eastAsia" w:ascii="仿宋" w:hAnsi="仿宋" w:eastAsia="仿宋" w:cs="仿宋"/>
          <w:color w:val="auto"/>
          <w:highlight w:val="none"/>
        </w:rPr>
      </w:pPr>
    </w:p>
    <w:p w14:paraId="10ABEA6A">
      <w:pPr>
        <w:pStyle w:val="4"/>
        <w:spacing w:line="284" w:lineRule="auto"/>
        <w:rPr>
          <w:rFonts w:hint="eastAsia" w:ascii="仿宋" w:hAnsi="仿宋" w:eastAsia="仿宋" w:cs="仿宋"/>
          <w:color w:val="auto"/>
          <w:highlight w:val="none"/>
        </w:rPr>
      </w:pPr>
    </w:p>
    <w:p w14:paraId="6E81AE73">
      <w:pPr>
        <w:spacing w:before="75" w:line="227" w:lineRule="auto"/>
        <w:ind w:left="401"/>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注： 自然人参加征集响应的无需提供。</w:t>
      </w:r>
    </w:p>
    <w:p w14:paraId="5A1253AB">
      <w:pPr>
        <w:spacing w:line="227" w:lineRule="auto"/>
        <w:rPr>
          <w:rFonts w:hint="eastAsia" w:ascii="仿宋" w:hAnsi="仿宋" w:eastAsia="仿宋" w:cs="仿宋"/>
          <w:color w:val="auto"/>
          <w:sz w:val="23"/>
          <w:szCs w:val="23"/>
          <w:highlight w:val="none"/>
        </w:rPr>
        <w:sectPr>
          <w:footerReference r:id="rId30" w:type="default"/>
          <w:pgSz w:w="11905" w:h="16838"/>
          <w:pgMar w:top="1020" w:right="1134" w:bottom="1020" w:left="1134" w:header="0" w:footer="573" w:gutter="0"/>
          <w:pgNumType w:fmt="decimal"/>
          <w:cols w:space="0" w:num="1"/>
          <w:rtlGutter w:val="0"/>
          <w:docGrid w:linePitch="0" w:charSpace="0"/>
        </w:sectPr>
      </w:pPr>
    </w:p>
    <w:p w14:paraId="3CAC5747">
      <w:pPr>
        <w:pStyle w:val="4"/>
        <w:spacing w:line="271" w:lineRule="auto"/>
        <w:rPr>
          <w:rFonts w:hint="eastAsia" w:ascii="仿宋" w:hAnsi="仿宋" w:eastAsia="仿宋" w:cs="仿宋"/>
          <w:color w:val="auto"/>
          <w:highlight w:val="none"/>
        </w:rPr>
      </w:pPr>
    </w:p>
    <w:p w14:paraId="24AC2F61">
      <w:pPr>
        <w:spacing w:before="75" w:line="227" w:lineRule="auto"/>
        <w:ind w:left="580"/>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法定代表人授权委托书</w:t>
      </w:r>
    </w:p>
    <w:p w14:paraId="1BFB4C55">
      <w:pPr>
        <w:spacing w:before="186" w:line="227" w:lineRule="auto"/>
        <w:ind w:left="3449" w:firstLine="896" w:firstLineChars="400"/>
        <w:jc w:val="both"/>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(响应文件格式二)</w:t>
      </w:r>
    </w:p>
    <w:p w14:paraId="17291B7A">
      <w:pPr>
        <w:pStyle w:val="4"/>
        <w:spacing w:line="294" w:lineRule="auto"/>
        <w:rPr>
          <w:rFonts w:hint="eastAsia" w:ascii="仿宋" w:hAnsi="仿宋" w:eastAsia="仿宋" w:cs="仿宋"/>
          <w:color w:val="auto"/>
          <w:highlight w:val="none"/>
        </w:rPr>
      </w:pPr>
    </w:p>
    <w:p w14:paraId="6348AB71">
      <w:pPr>
        <w:pStyle w:val="4"/>
        <w:spacing w:line="295" w:lineRule="auto"/>
        <w:rPr>
          <w:rFonts w:hint="eastAsia" w:ascii="仿宋" w:hAnsi="仿宋" w:eastAsia="仿宋" w:cs="仿宋"/>
          <w:color w:val="auto"/>
          <w:highlight w:val="none"/>
        </w:rPr>
      </w:pPr>
    </w:p>
    <w:p w14:paraId="0145BDAF">
      <w:pPr>
        <w:spacing w:before="82" w:line="339" w:lineRule="auto"/>
        <w:ind w:left="35" w:right="8" w:firstLine="479"/>
        <w:jc w:val="both"/>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本授权书声明：注册于</w:t>
      </w:r>
      <w:r>
        <w:rPr>
          <w:rFonts w:hint="eastAsia" w:ascii="仿宋" w:hAnsi="仿宋" w:eastAsia="仿宋" w:cs="仿宋"/>
          <w:color w:val="auto"/>
          <w:spacing w:val="5"/>
          <w:sz w:val="23"/>
          <w:szCs w:val="23"/>
          <w:highlight w:val="none"/>
          <w:u w:val="single" w:color="auto"/>
        </w:rPr>
        <w:t>（国家或地区的名称）</w:t>
      </w:r>
      <w:r>
        <w:rPr>
          <w:rFonts w:hint="eastAsia" w:ascii="仿宋" w:hAnsi="仿宋" w:eastAsia="仿宋" w:cs="仿宋"/>
          <w:color w:val="auto"/>
          <w:spacing w:val="5"/>
          <w:sz w:val="23"/>
          <w:szCs w:val="23"/>
          <w:highlight w:val="none"/>
        </w:rPr>
        <w:t>的（</w:t>
      </w:r>
      <w:r>
        <w:rPr>
          <w:rFonts w:hint="eastAsia" w:ascii="仿宋" w:hAnsi="仿宋" w:eastAsia="仿宋" w:cs="仿宋"/>
          <w:i/>
          <w:iCs/>
          <w:color w:val="auto"/>
          <w:spacing w:val="5"/>
          <w:sz w:val="25"/>
          <w:szCs w:val="25"/>
          <w:highlight w:val="none"/>
          <w:u w:val="single" w:color="auto"/>
        </w:rPr>
        <w:t>供应商</w:t>
      </w:r>
      <w:r>
        <w:rPr>
          <w:rFonts w:hint="eastAsia" w:ascii="仿宋" w:hAnsi="仿宋" w:eastAsia="仿宋" w:cs="仿宋"/>
          <w:color w:val="auto"/>
          <w:spacing w:val="5"/>
          <w:sz w:val="23"/>
          <w:szCs w:val="23"/>
          <w:highlight w:val="none"/>
        </w:rPr>
        <w:t>）的在</w:t>
      </w:r>
      <w:r>
        <w:rPr>
          <w:rFonts w:hint="eastAsia" w:ascii="仿宋" w:hAnsi="仿宋" w:eastAsia="仿宋" w:cs="仿宋"/>
          <w:color w:val="auto"/>
          <w:spacing w:val="4"/>
          <w:sz w:val="23"/>
          <w:szCs w:val="23"/>
          <w:highlight w:val="none"/>
        </w:rPr>
        <w:t>下面签字的</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2"/>
          <w:sz w:val="23"/>
          <w:szCs w:val="23"/>
          <w:highlight w:val="none"/>
        </w:rPr>
        <w:t>（</w:t>
      </w:r>
      <w:r>
        <w:rPr>
          <w:rFonts w:hint="eastAsia" w:ascii="仿宋" w:hAnsi="仿宋" w:eastAsia="仿宋" w:cs="仿宋"/>
          <w:i/>
          <w:iCs/>
          <w:color w:val="auto"/>
          <w:spacing w:val="-2"/>
          <w:sz w:val="25"/>
          <w:szCs w:val="25"/>
          <w:highlight w:val="none"/>
          <w:u w:val="single" w:color="auto"/>
        </w:rPr>
        <w:t>法人代表姓名、职务</w:t>
      </w:r>
      <w:r>
        <w:rPr>
          <w:rFonts w:hint="eastAsia" w:ascii="仿宋" w:hAnsi="仿宋" w:eastAsia="仿宋" w:cs="仿宋"/>
          <w:color w:val="auto"/>
          <w:spacing w:val="-2"/>
          <w:sz w:val="23"/>
          <w:szCs w:val="23"/>
          <w:highlight w:val="none"/>
        </w:rPr>
        <w:t>）代表我单位授权在下面签字的</w:t>
      </w:r>
      <w:r>
        <w:rPr>
          <w:rFonts w:hint="eastAsia" w:ascii="仿宋" w:hAnsi="仿宋" w:eastAsia="仿宋" w:cs="仿宋"/>
          <w:color w:val="auto"/>
          <w:spacing w:val="-3"/>
          <w:sz w:val="23"/>
          <w:szCs w:val="23"/>
          <w:highlight w:val="none"/>
        </w:rPr>
        <w:t>（</w:t>
      </w:r>
      <w:r>
        <w:rPr>
          <w:rFonts w:hint="eastAsia" w:ascii="仿宋" w:hAnsi="仿宋" w:eastAsia="仿宋" w:cs="仿宋"/>
          <w:i/>
          <w:iCs/>
          <w:color w:val="auto"/>
          <w:spacing w:val="-3"/>
          <w:sz w:val="25"/>
          <w:szCs w:val="25"/>
          <w:highlight w:val="none"/>
          <w:u w:val="single" w:color="auto"/>
        </w:rPr>
        <w:t>被授权人的姓名</w:t>
      </w:r>
      <w:r>
        <w:rPr>
          <w:rFonts w:hint="eastAsia" w:ascii="仿宋" w:hAnsi="仿宋" w:eastAsia="仿宋" w:cs="仿宋"/>
          <w:color w:val="auto"/>
          <w:spacing w:val="-3"/>
          <w:sz w:val="23"/>
          <w:szCs w:val="23"/>
          <w:highlight w:val="none"/>
        </w:rPr>
        <w:t>）为我</w:t>
      </w:r>
      <w:r>
        <w:rPr>
          <w:rFonts w:hint="eastAsia" w:ascii="仿宋" w:hAnsi="仿宋" w:eastAsia="仿宋" w:cs="仿宋"/>
          <w:color w:val="auto"/>
          <w:sz w:val="23"/>
          <w:szCs w:val="23"/>
          <w:highlight w:val="none"/>
        </w:rPr>
        <w:t xml:space="preserve"> </w:t>
      </w:r>
      <w:r>
        <w:rPr>
          <w:rFonts w:hint="eastAsia" w:ascii="仿宋" w:hAnsi="仿宋" w:eastAsia="仿宋" w:cs="仿宋"/>
          <w:color w:val="auto"/>
          <w:spacing w:val="4"/>
          <w:sz w:val="23"/>
          <w:szCs w:val="23"/>
          <w:highlight w:val="none"/>
        </w:rPr>
        <w:t>单位的合法代理人，就（</w:t>
      </w:r>
      <w:r>
        <w:rPr>
          <w:rFonts w:hint="eastAsia" w:ascii="仿宋" w:hAnsi="仿宋" w:eastAsia="仿宋" w:cs="仿宋"/>
          <w:i/>
          <w:iCs/>
          <w:color w:val="auto"/>
          <w:spacing w:val="4"/>
          <w:sz w:val="25"/>
          <w:szCs w:val="25"/>
          <w:highlight w:val="none"/>
          <w:u w:val="single" w:color="auto"/>
        </w:rPr>
        <w:t>项目名称</w:t>
      </w:r>
      <w:r>
        <w:rPr>
          <w:rFonts w:hint="eastAsia" w:ascii="仿宋" w:hAnsi="仿宋" w:eastAsia="仿宋" w:cs="仿宋"/>
          <w:color w:val="auto"/>
          <w:spacing w:val="4"/>
          <w:sz w:val="23"/>
          <w:szCs w:val="23"/>
          <w:highlight w:val="none"/>
        </w:rPr>
        <w:t>）征集响应，以我单位名义处理一切与之有关</w:t>
      </w:r>
    </w:p>
    <w:p w14:paraId="22952FB9">
      <w:pPr>
        <w:spacing w:line="227" w:lineRule="auto"/>
        <w:ind w:left="71"/>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的事务。</w:t>
      </w:r>
    </w:p>
    <w:p w14:paraId="4F1EF3C4">
      <w:pPr>
        <w:pStyle w:val="4"/>
        <w:spacing w:line="285" w:lineRule="auto"/>
        <w:rPr>
          <w:rFonts w:hint="eastAsia" w:ascii="仿宋" w:hAnsi="仿宋" w:eastAsia="仿宋" w:cs="仿宋"/>
          <w:color w:val="auto"/>
          <w:highlight w:val="none"/>
        </w:rPr>
      </w:pPr>
    </w:p>
    <w:p w14:paraId="4140448C">
      <w:pPr>
        <w:pStyle w:val="4"/>
        <w:spacing w:line="285" w:lineRule="auto"/>
        <w:rPr>
          <w:rFonts w:hint="eastAsia" w:ascii="仿宋" w:hAnsi="仿宋" w:eastAsia="仿宋" w:cs="仿宋"/>
          <w:color w:val="auto"/>
          <w:highlight w:val="none"/>
        </w:rPr>
      </w:pPr>
    </w:p>
    <w:p w14:paraId="49D59C1A">
      <w:pPr>
        <w:spacing w:before="75" w:line="224" w:lineRule="auto"/>
        <w:ind w:left="826"/>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本授权书于</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89"/>
          <w:sz w:val="23"/>
          <w:szCs w:val="23"/>
          <w:highlight w:val="none"/>
        </w:rPr>
        <w:t xml:space="preserve"> </w:t>
      </w:r>
      <w:r>
        <w:rPr>
          <w:rFonts w:hint="eastAsia" w:ascii="仿宋" w:hAnsi="仿宋" w:eastAsia="仿宋" w:cs="仿宋"/>
          <w:color w:val="auto"/>
          <w:spacing w:val="2"/>
          <w:sz w:val="23"/>
          <w:szCs w:val="23"/>
          <w:highlight w:val="none"/>
        </w:rPr>
        <w:t>年</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85"/>
          <w:sz w:val="23"/>
          <w:szCs w:val="23"/>
          <w:highlight w:val="none"/>
        </w:rPr>
        <w:t xml:space="preserve"> </w:t>
      </w:r>
      <w:r>
        <w:rPr>
          <w:rFonts w:hint="eastAsia" w:ascii="仿宋" w:hAnsi="仿宋" w:eastAsia="仿宋" w:cs="仿宋"/>
          <w:color w:val="auto"/>
          <w:spacing w:val="2"/>
          <w:sz w:val="23"/>
          <w:szCs w:val="23"/>
          <w:highlight w:val="none"/>
        </w:rPr>
        <w:t>月</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2"/>
          <w:sz w:val="23"/>
          <w:szCs w:val="23"/>
          <w:highlight w:val="none"/>
        </w:rPr>
        <w:t xml:space="preserve"> 日签字生效,特此声明。</w:t>
      </w:r>
    </w:p>
    <w:p w14:paraId="070DBC53">
      <w:pPr>
        <w:pStyle w:val="4"/>
        <w:spacing w:line="289" w:lineRule="auto"/>
        <w:rPr>
          <w:rFonts w:hint="eastAsia" w:ascii="仿宋" w:hAnsi="仿宋" w:eastAsia="仿宋" w:cs="仿宋"/>
          <w:color w:val="auto"/>
          <w:highlight w:val="none"/>
        </w:rPr>
      </w:pPr>
    </w:p>
    <w:p w14:paraId="6EC212F5">
      <w:pPr>
        <w:pStyle w:val="4"/>
        <w:spacing w:line="290" w:lineRule="auto"/>
        <w:rPr>
          <w:rFonts w:hint="eastAsia" w:ascii="仿宋" w:hAnsi="仿宋" w:eastAsia="仿宋" w:cs="仿宋"/>
          <w:color w:val="auto"/>
          <w:highlight w:val="none"/>
        </w:rPr>
      </w:pPr>
    </w:p>
    <w:p w14:paraId="40E3E014">
      <w:pPr>
        <w:spacing w:before="75" w:line="227" w:lineRule="auto"/>
        <w:ind w:left="2526"/>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（附法定代表人身份证正反面）</w:t>
      </w:r>
    </w:p>
    <w:p w14:paraId="11D9B827">
      <w:pPr>
        <w:pStyle w:val="4"/>
        <w:spacing w:line="260" w:lineRule="auto"/>
        <w:rPr>
          <w:rFonts w:hint="eastAsia" w:ascii="仿宋" w:hAnsi="仿宋" w:eastAsia="仿宋" w:cs="仿宋"/>
          <w:color w:val="auto"/>
          <w:highlight w:val="none"/>
        </w:rPr>
      </w:pPr>
    </w:p>
    <w:p w14:paraId="60356E97">
      <w:pPr>
        <w:pStyle w:val="4"/>
        <w:spacing w:line="260" w:lineRule="auto"/>
        <w:rPr>
          <w:rFonts w:hint="eastAsia" w:ascii="仿宋" w:hAnsi="仿宋" w:eastAsia="仿宋" w:cs="仿宋"/>
          <w:color w:val="auto"/>
          <w:highlight w:val="none"/>
        </w:rPr>
      </w:pPr>
    </w:p>
    <w:p w14:paraId="7EF32C2E">
      <w:pPr>
        <w:pStyle w:val="4"/>
        <w:spacing w:line="260" w:lineRule="auto"/>
        <w:rPr>
          <w:rFonts w:hint="eastAsia" w:ascii="仿宋" w:hAnsi="仿宋" w:eastAsia="仿宋" w:cs="仿宋"/>
          <w:color w:val="auto"/>
          <w:highlight w:val="none"/>
        </w:rPr>
      </w:pPr>
    </w:p>
    <w:p w14:paraId="0C409A71">
      <w:pPr>
        <w:pStyle w:val="4"/>
        <w:spacing w:line="260" w:lineRule="auto"/>
        <w:rPr>
          <w:rFonts w:hint="eastAsia" w:ascii="仿宋" w:hAnsi="仿宋" w:eastAsia="仿宋" w:cs="仿宋"/>
          <w:color w:val="auto"/>
          <w:highlight w:val="none"/>
        </w:rPr>
      </w:pPr>
    </w:p>
    <w:p w14:paraId="73403E1E">
      <w:pPr>
        <w:spacing w:before="74" w:line="227" w:lineRule="auto"/>
        <w:ind w:left="2646"/>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（附被授权人身份证正反面）</w:t>
      </w:r>
    </w:p>
    <w:p w14:paraId="28195A8B">
      <w:pPr>
        <w:pStyle w:val="4"/>
        <w:spacing w:line="265" w:lineRule="auto"/>
        <w:rPr>
          <w:rFonts w:hint="eastAsia" w:ascii="仿宋" w:hAnsi="仿宋" w:eastAsia="仿宋" w:cs="仿宋"/>
          <w:color w:val="auto"/>
          <w:highlight w:val="none"/>
        </w:rPr>
      </w:pPr>
    </w:p>
    <w:p w14:paraId="28837CB9">
      <w:pPr>
        <w:pStyle w:val="4"/>
        <w:spacing w:line="265" w:lineRule="auto"/>
        <w:rPr>
          <w:rFonts w:hint="eastAsia" w:ascii="仿宋" w:hAnsi="仿宋" w:eastAsia="仿宋" w:cs="仿宋"/>
          <w:color w:val="auto"/>
          <w:highlight w:val="none"/>
        </w:rPr>
      </w:pPr>
    </w:p>
    <w:p w14:paraId="4A6470A4">
      <w:pPr>
        <w:pStyle w:val="4"/>
        <w:spacing w:line="266" w:lineRule="auto"/>
        <w:rPr>
          <w:rFonts w:hint="eastAsia" w:ascii="仿宋" w:hAnsi="仿宋" w:eastAsia="仿宋" w:cs="仿宋"/>
          <w:color w:val="auto"/>
          <w:highlight w:val="none"/>
        </w:rPr>
      </w:pPr>
    </w:p>
    <w:p w14:paraId="6E701A8A">
      <w:pPr>
        <w:pStyle w:val="4"/>
        <w:spacing w:line="266" w:lineRule="auto"/>
        <w:rPr>
          <w:rFonts w:hint="eastAsia" w:ascii="仿宋" w:hAnsi="仿宋" w:eastAsia="仿宋" w:cs="仿宋"/>
          <w:color w:val="auto"/>
          <w:highlight w:val="none"/>
        </w:rPr>
      </w:pPr>
    </w:p>
    <w:p w14:paraId="0D4E3A43">
      <w:pPr>
        <w:spacing w:before="75" w:line="358" w:lineRule="auto"/>
        <w:ind w:left="510"/>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 xml:space="preserve">供应商（盖公章） ; </w:t>
      </w:r>
      <w:r>
        <w:rPr>
          <w:rFonts w:hint="eastAsia" w:ascii="仿宋" w:hAnsi="仿宋" w:eastAsia="仿宋" w:cs="仿宋"/>
          <w:color w:val="auto"/>
          <w:sz w:val="23"/>
          <w:szCs w:val="23"/>
          <w:highlight w:val="none"/>
          <w:u w:val="single" w:color="auto"/>
        </w:rPr>
        <w:t xml:space="preserve">                               </w:t>
      </w:r>
    </w:p>
    <w:p w14:paraId="2E1437D4">
      <w:pPr>
        <w:spacing w:before="1" w:line="226" w:lineRule="auto"/>
        <w:ind w:left="514"/>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法定代表人（签字或签章</w:t>
      </w:r>
      <w:r>
        <w:rPr>
          <w:rFonts w:hint="eastAsia" w:ascii="仿宋" w:hAnsi="仿宋" w:eastAsia="仿宋" w:cs="仿宋"/>
          <w:color w:val="auto"/>
          <w:spacing w:val="-39"/>
          <w:sz w:val="23"/>
          <w:szCs w:val="23"/>
          <w:highlight w:val="none"/>
        </w:rPr>
        <w:t>）：</w:t>
      </w:r>
      <w:r>
        <w:rPr>
          <w:rFonts w:hint="eastAsia" w:ascii="仿宋" w:hAnsi="仿宋" w:eastAsia="仿宋" w:cs="仿宋"/>
          <w:color w:val="auto"/>
          <w:spacing w:val="-19"/>
          <w:sz w:val="23"/>
          <w:szCs w:val="23"/>
          <w:highlight w:val="none"/>
        </w:rPr>
        <w:t xml:space="preserve"> </w:t>
      </w:r>
      <w:r>
        <w:rPr>
          <w:rFonts w:hint="eastAsia" w:ascii="仿宋" w:hAnsi="仿宋" w:eastAsia="仿宋" w:cs="仿宋"/>
          <w:color w:val="auto"/>
          <w:sz w:val="23"/>
          <w:szCs w:val="23"/>
          <w:highlight w:val="none"/>
          <w:u w:val="single" w:color="auto"/>
        </w:rPr>
        <w:t xml:space="preserve">                       </w:t>
      </w:r>
    </w:p>
    <w:p w14:paraId="4249271A">
      <w:pPr>
        <w:spacing w:before="183" w:line="227" w:lineRule="auto"/>
        <w:ind w:left="524"/>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u w:val="single" w:color="EEECE1"/>
        </w:rPr>
        <w:t>身份证号码</w:t>
      </w:r>
      <w:r>
        <w:rPr>
          <w:rFonts w:hint="eastAsia" w:ascii="仿宋" w:hAnsi="仿宋" w:eastAsia="仿宋" w:cs="仿宋"/>
          <w:color w:val="auto"/>
          <w:spacing w:val="2"/>
          <w:sz w:val="23"/>
          <w:szCs w:val="23"/>
          <w:highlight w:val="none"/>
        </w:rPr>
        <w:t>：</w:t>
      </w:r>
      <w:r>
        <w:rPr>
          <w:rFonts w:hint="eastAsia" w:ascii="仿宋" w:hAnsi="仿宋" w:eastAsia="仿宋" w:cs="仿宋"/>
          <w:color w:val="auto"/>
          <w:spacing w:val="2"/>
          <w:sz w:val="23"/>
          <w:szCs w:val="23"/>
          <w:highlight w:val="none"/>
          <w:u w:val="single" w:color="auto"/>
        </w:rPr>
        <w:t xml:space="preserve">                                    </w:t>
      </w:r>
    </w:p>
    <w:p w14:paraId="387F9A24">
      <w:pPr>
        <w:spacing w:before="182" w:line="227" w:lineRule="auto"/>
        <w:ind w:left="509"/>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委托代理人（签字或签章</w:t>
      </w:r>
      <w:r>
        <w:rPr>
          <w:rFonts w:hint="eastAsia" w:ascii="仿宋" w:hAnsi="仿宋" w:eastAsia="仿宋" w:cs="仿宋"/>
          <w:color w:val="auto"/>
          <w:spacing w:val="-38"/>
          <w:sz w:val="23"/>
          <w:szCs w:val="23"/>
          <w:highlight w:val="none"/>
        </w:rPr>
        <w:t>）：</w:t>
      </w:r>
      <w:r>
        <w:rPr>
          <w:rFonts w:hint="eastAsia" w:ascii="仿宋" w:hAnsi="仿宋" w:eastAsia="仿宋" w:cs="仿宋"/>
          <w:color w:val="auto"/>
          <w:spacing w:val="-19"/>
          <w:sz w:val="23"/>
          <w:szCs w:val="23"/>
          <w:highlight w:val="none"/>
        </w:rPr>
        <w:t xml:space="preserve"> </w:t>
      </w:r>
      <w:r>
        <w:rPr>
          <w:rFonts w:hint="eastAsia" w:ascii="仿宋" w:hAnsi="仿宋" w:eastAsia="仿宋" w:cs="仿宋"/>
          <w:color w:val="auto"/>
          <w:sz w:val="23"/>
          <w:szCs w:val="23"/>
          <w:highlight w:val="none"/>
          <w:u w:val="single" w:color="auto"/>
        </w:rPr>
        <w:t xml:space="preserve">                       </w:t>
      </w:r>
    </w:p>
    <w:p w14:paraId="575ACFDA">
      <w:pPr>
        <w:spacing w:before="186" w:line="227" w:lineRule="auto"/>
        <w:ind w:left="524"/>
        <w:rPr>
          <w:rFonts w:hint="eastAsia" w:ascii="仿宋" w:hAnsi="仿宋" w:eastAsia="仿宋" w:cs="仿宋"/>
          <w:color w:val="auto"/>
          <w:sz w:val="23"/>
          <w:szCs w:val="23"/>
          <w:highlight w:val="none"/>
        </w:rPr>
      </w:pPr>
      <w:r>
        <w:rPr>
          <w:rFonts w:hint="eastAsia" w:ascii="仿宋" w:hAnsi="仿宋" w:eastAsia="仿宋" w:cs="仿宋"/>
          <w:color w:val="auto"/>
          <w:spacing w:val="2"/>
          <w:sz w:val="23"/>
          <w:szCs w:val="23"/>
          <w:highlight w:val="none"/>
        </w:rPr>
        <w:t>身份证号码：</w:t>
      </w:r>
      <w:r>
        <w:rPr>
          <w:rFonts w:hint="eastAsia" w:ascii="仿宋" w:hAnsi="仿宋" w:eastAsia="仿宋" w:cs="仿宋"/>
          <w:color w:val="auto"/>
          <w:spacing w:val="2"/>
          <w:sz w:val="23"/>
          <w:szCs w:val="23"/>
          <w:highlight w:val="none"/>
          <w:u w:val="single" w:color="auto"/>
        </w:rPr>
        <w:t xml:space="preserve">                                    </w:t>
      </w:r>
    </w:p>
    <w:p w14:paraId="1118B35A">
      <w:pPr>
        <w:spacing w:before="187" w:line="229" w:lineRule="auto"/>
        <w:ind w:left="518"/>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详细通讯地址：</w:t>
      </w:r>
      <w:r>
        <w:rPr>
          <w:rFonts w:hint="eastAsia" w:ascii="仿宋" w:hAnsi="仿宋" w:eastAsia="仿宋" w:cs="仿宋"/>
          <w:color w:val="auto"/>
          <w:sz w:val="23"/>
          <w:szCs w:val="23"/>
          <w:highlight w:val="none"/>
          <w:u w:val="single" w:color="auto"/>
        </w:rPr>
        <w:t xml:space="preserve">                                   </w:t>
      </w:r>
    </w:p>
    <w:p w14:paraId="6E320898">
      <w:pPr>
        <w:spacing w:before="181" w:line="227" w:lineRule="auto"/>
        <w:ind w:left="547"/>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邮 政</w:t>
      </w:r>
      <w:r>
        <w:rPr>
          <w:rFonts w:hint="eastAsia" w:ascii="仿宋" w:hAnsi="仿宋" w:eastAsia="仿宋" w:cs="仿宋"/>
          <w:color w:val="auto"/>
          <w:spacing w:val="9"/>
          <w:sz w:val="23"/>
          <w:szCs w:val="23"/>
          <w:highlight w:val="none"/>
        </w:rPr>
        <w:t xml:space="preserve"> </w:t>
      </w:r>
      <w:r>
        <w:rPr>
          <w:rFonts w:hint="eastAsia" w:ascii="仿宋" w:hAnsi="仿宋" w:eastAsia="仿宋" w:cs="仿宋"/>
          <w:color w:val="auto"/>
          <w:spacing w:val="-3"/>
          <w:sz w:val="23"/>
          <w:szCs w:val="23"/>
          <w:highlight w:val="none"/>
        </w:rPr>
        <w:t>编</w:t>
      </w:r>
      <w:r>
        <w:rPr>
          <w:rFonts w:hint="eastAsia" w:ascii="仿宋" w:hAnsi="仿宋" w:eastAsia="仿宋" w:cs="仿宋"/>
          <w:color w:val="auto"/>
          <w:spacing w:val="3"/>
          <w:sz w:val="23"/>
          <w:szCs w:val="23"/>
          <w:highlight w:val="none"/>
        </w:rPr>
        <w:t xml:space="preserve"> </w:t>
      </w:r>
      <w:r>
        <w:rPr>
          <w:rFonts w:hint="eastAsia" w:ascii="仿宋" w:hAnsi="仿宋" w:eastAsia="仿宋" w:cs="仿宋"/>
          <w:color w:val="auto"/>
          <w:spacing w:val="-3"/>
          <w:sz w:val="23"/>
          <w:szCs w:val="23"/>
          <w:highlight w:val="none"/>
        </w:rPr>
        <w:t>码</w:t>
      </w:r>
      <w:r>
        <w:rPr>
          <w:rFonts w:hint="eastAsia" w:ascii="仿宋" w:hAnsi="仿宋" w:eastAsia="仿宋" w:cs="仿宋"/>
          <w:color w:val="auto"/>
          <w:spacing w:val="18"/>
          <w:sz w:val="23"/>
          <w:szCs w:val="23"/>
          <w:highlight w:val="none"/>
        </w:rPr>
        <w:t xml:space="preserve"> </w:t>
      </w:r>
      <w:r>
        <w:rPr>
          <w:rFonts w:hint="eastAsia" w:ascii="仿宋" w:hAnsi="仿宋" w:eastAsia="仿宋" w:cs="仿宋"/>
          <w:color w:val="auto"/>
          <w:spacing w:val="-3"/>
          <w:sz w:val="23"/>
          <w:szCs w:val="23"/>
          <w:highlight w:val="none"/>
        </w:rPr>
        <w:t>：</w:t>
      </w:r>
      <w:r>
        <w:rPr>
          <w:rFonts w:hint="eastAsia" w:ascii="仿宋" w:hAnsi="仿宋" w:eastAsia="仿宋" w:cs="仿宋"/>
          <w:color w:val="auto"/>
          <w:sz w:val="23"/>
          <w:szCs w:val="23"/>
          <w:highlight w:val="none"/>
          <w:u w:val="single" w:color="auto"/>
        </w:rPr>
        <w:t xml:space="preserve">                                   </w:t>
      </w:r>
    </w:p>
    <w:p w14:paraId="3E9B6EE4">
      <w:pPr>
        <w:spacing w:before="187" w:line="230" w:lineRule="auto"/>
        <w:ind w:left="567"/>
        <w:rPr>
          <w:rFonts w:hint="eastAsia" w:ascii="仿宋" w:hAnsi="仿宋" w:eastAsia="仿宋" w:cs="仿宋"/>
          <w:color w:val="auto"/>
          <w:sz w:val="23"/>
          <w:szCs w:val="23"/>
          <w:highlight w:val="none"/>
        </w:rPr>
      </w:pPr>
      <w:r>
        <w:rPr>
          <w:rFonts w:hint="eastAsia" w:ascii="仿宋" w:hAnsi="仿宋" w:eastAsia="仿宋" w:cs="仿宋"/>
          <w:color w:val="auto"/>
          <w:spacing w:val="-11"/>
          <w:sz w:val="23"/>
          <w:szCs w:val="23"/>
          <w:highlight w:val="none"/>
        </w:rPr>
        <w:t>电         话：</w:t>
      </w:r>
      <w:r>
        <w:rPr>
          <w:rFonts w:hint="eastAsia" w:ascii="仿宋" w:hAnsi="仿宋" w:eastAsia="仿宋" w:cs="仿宋"/>
          <w:color w:val="auto"/>
          <w:sz w:val="23"/>
          <w:szCs w:val="23"/>
          <w:highlight w:val="none"/>
          <w:u w:val="single" w:color="auto"/>
        </w:rPr>
        <w:t xml:space="preserve">                                   </w:t>
      </w:r>
    </w:p>
    <w:p w14:paraId="29995E2E">
      <w:pPr>
        <w:pStyle w:val="4"/>
        <w:spacing w:line="257" w:lineRule="auto"/>
        <w:rPr>
          <w:rFonts w:hint="eastAsia" w:ascii="仿宋" w:hAnsi="仿宋" w:eastAsia="仿宋" w:cs="仿宋"/>
          <w:color w:val="auto"/>
          <w:highlight w:val="none"/>
        </w:rPr>
      </w:pPr>
    </w:p>
    <w:p w14:paraId="26BCB4DA">
      <w:pPr>
        <w:pStyle w:val="4"/>
        <w:spacing w:line="258" w:lineRule="auto"/>
        <w:rPr>
          <w:rFonts w:hint="eastAsia" w:ascii="仿宋" w:hAnsi="仿宋" w:eastAsia="仿宋" w:cs="仿宋"/>
          <w:color w:val="auto"/>
          <w:highlight w:val="none"/>
        </w:rPr>
      </w:pPr>
    </w:p>
    <w:p w14:paraId="6FF42CD7">
      <w:pPr>
        <w:pStyle w:val="4"/>
        <w:spacing w:line="258" w:lineRule="auto"/>
        <w:rPr>
          <w:rFonts w:hint="eastAsia" w:ascii="仿宋" w:hAnsi="仿宋" w:eastAsia="仿宋" w:cs="仿宋"/>
          <w:color w:val="auto"/>
          <w:highlight w:val="none"/>
        </w:rPr>
      </w:pPr>
    </w:p>
    <w:p w14:paraId="6A783BB1">
      <w:pPr>
        <w:pStyle w:val="4"/>
        <w:spacing w:line="258" w:lineRule="auto"/>
        <w:rPr>
          <w:rFonts w:hint="eastAsia" w:ascii="仿宋" w:hAnsi="仿宋" w:eastAsia="仿宋" w:cs="仿宋"/>
          <w:color w:val="auto"/>
          <w:highlight w:val="none"/>
        </w:rPr>
      </w:pPr>
    </w:p>
    <w:p w14:paraId="5033DD32">
      <w:pPr>
        <w:spacing w:before="75" w:line="227" w:lineRule="auto"/>
        <w:ind w:left="455"/>
        <w:outlineLvl w:val="1"/>
        <w:rPr>
          <w:rFonts w:hint="eastAsia" w:ascii="仿宋" w:hAnsi="仿宋" w:eastAsia="仿宋" w:cs="仿宋"/>
          <w:color w:val="auto"/>
          <w:sz w:val="23"/>
          <w:szCs w:val="23"/>
          <w:highlight w:val="none"/>
        </w:rPr>
        <w:sectPr>
          <w:footerReference r:id="rId31"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3"/>
          <w:sz w:val="23"/>
          <w:szCs w:val="23"/>
          <w:highlight w:val="none"/>
        </w:rPr>
        <w:t>注：</w:t>
      </w:r>
      <w:r>
        <w:rPr>
          <w:rFonts w:hint="eastAsia" w:ascii="仿宋" w:hAnsi="仿宋" w:eastAsia="仿宋" w:cs="仿宋"/>
          <w:color w:val="auto"/>
          <w:spacing w:val="79"/>
          <w:sz w:val="23"/>
          <w:szCs w:val="23"/>
          <w:highlight w:val="none"/>
        </w:rPr>
        <w:t xml:space="preserve"> </w:t>
      </w:r>
      <w:r>
        <w:rPr>
          <w:rFonts w:hint="eastAsia" w:ascii="仿宋" w:hAnsi="仿宋" w:eastAsia="仿宋" w:cs="仿宋"/>
          <w:color w:val="auto"/>
          <w:spacing w:val="3"/>
          <w:sz w:val="23"/>
          <w:szCs w:val="23"/>
          <w:highlight w:val="none"/>
        </w:rPr>
        <w:t>自然人参加征集响应的或法定代表人参加征集响应的无需提供。</w:t>
      </w:r>
    </w:p>
    <w:p w14:paraId="489DD634">
      <w:pPr>
        <w:spacing w:before="201" w:line="631" w:lineRule="exact"/>
        <w:ind w:left="116"/>
        <w:rPr>
          <w:rFonts w:hint="eastAsia" w:ascii="仿宋" w:hAnsi="仿宋" w:eastAsia="仿宋" w:cs="仿宋"/>
          <w:color w:val="auto"/>
          <w:spacing w:val="5"/>
          <w:position w:val="31"/>
          <w:sz w:val="23"/>
          <w:szCs w:val="23"/>
          <w:highlight w:val="none"/>
          <w:lang w:eastAsia="zh-CN"/>
        </w:rPr>
      </w:pPr>
      <w:r>
        <w:rPr>
          <w:rFonts w:hint="eastAsia" w:ascii="仿宋" w:hAnsi="仿宋" w:eastAsia="仿宋" w:cs="仿宋"/>
          <w:color w:val="auto"/>
          <w:spacing w:val="5"/>
          <w:position w:val="31"/>
          <w:sz w:val="23"/>
          <w:szCs w:val="23"/>
          <w:highlight w:val="none"/>
          <w:lang w:val="en-US" w:eastAsia="zh-CN"/>
        </w:rPr>
        <w:t>3、</w:t>
      </w:r>
      <w:r>
        <w:rPr>
          <w:rFonts w:hint="eastAsia" w:ascii="仿宋" w:hAnsi="仿宋" w:eastAsia="仿宋" w:cs="仿宋"/>
          <w:color w:val="auto"/>
          <w:spacing w:val="5"/>
          <w:position w:val="31"/>
          <w:sz w:val="23"/>
          <w:szCs w:val="23"/>
          <w:highlight w:val="none"/>
        </w:rPr>
        <w:t>投标企业须提供投标人（被授权在职人员）近6个月内任意1个月社保证明</w:t>
      </w:r>
      <w:r>
        <w:rPr>
          <w:rFonts w:hint="eastAsia" w:ascii="仿宋" w:hAnsi="仿宋" w:eastAsia="仿宋" w:cs="仿宋"/>
          <w:color w:val="auto"/>
          <w:spacing w:val="5"/>
          <w:position w:val="31"/>
          <w:sz w:val="23"/>
          <w:szCs w:val="23"/>
          <w:highlight w:val="none"/>
          <w:lang w:eastAsia="zh-CN"/>
        </w:rPr>
        <w:t>；</w:t>
      </w:r>
    </w:p>
    <w:p w14:paraId="299FC800">
      <w:pPr>
        <w:spacing w:before="258" w:line="227" w:lineRule="auto"/>
        <w:outlineLvl w:val="2"/>
        <w:rPr>
          <w:rFonts w:hint="eastAsia" w:ascii="仿宋" w:hAnsi="仿宋" w:eastAsia="仿宋" w:cs="仿宋"/>
          <w:color w:val="auto"/>
          <w:spacing w:val="5"/>
          <w:position w:val="31"/>
          <w:sz w:val="23"/>
          <w:szCs w:val="23"/>
          <w:highlight w:val="none"/>
          <w:lang w:val="en-US" w:eastAsia="zh-CN"/>
        </w:rPr>
      </w:pPr>
    </w:p>
    <w:p w14:paraId="54492715">
      <w:pPr>
        <w:spacing w:before="258" w:line="227" w:lineRule="auto"/>
        <w:outlineLvl w:val="2"/>
        <w:rPr>
          <w:rFonts w:hint="eastAsia" w:ascii="仿宋" w:hAnsi="仿宋" w:eastAsia="仿宋" w:cs="仿宋"/>
          <w:color w:val="auto"/>
          <w:spacing w:val="5"/>
          <w:position w:val="31"/>
          <w:sz w:val="23"/>
          <w:szCs w:val="23"/>
          <w:highlight w:val="none"/>
        </w:rPr>
      </w:pPr>
      <w:r>
        <w:rPr>
          <w:rFonts w:hint="eastAsia" w:ascii="仿宋" w:hAnsi="仿宋" w:eastAsia="仿宋" w:cs="仿宋"/>
          <w:color w:val="auto"/>
          <w:spacing w:val="5"/>
          <w:position w:val="31"/>
          <w:sz w:val="23"/>
          <w:szCs w:val="23"/>
          <w:highlight w:val="none"/>
          <w:lang w:val="en-US" w:eastAsia="zh-CN"/>
        </w:rPr>
        <w:t>4、</w:t>
      </w:r>
      <w:r>
        <w:rPr>
          <w:rFonts w:hint="eastAsia" w:ascii="仿宋" w:hAnsi="仿宋" w:eastAsia="仿宋" w:cs="仿宋"/>
          <w:color w:val="auto"/>
          <w:spacing w:val="5"/>
          <w:position w:val="31"/>
          <w:sz w:val="23"/>
          <w:szCs w:val="23"/>
          <w:highlight w:val="none"/>
        </w:rPr>
        <w:t>未被列入信用中国网（www.creditchina.gov.cn）及中国政府采购网 (www.ccgp.gov.cn）失信被执行人名单、重大税收违法失信主体、政府采购严重违法失信行为记录名单。</w:t>
      </w:r>
    </w:p>
    <w:p w14:paraId="26DB823F">
      <w:pPr>
        <w:spacing w:before="181" w:line="227" w:lineRule="auto"/>
        <w:ind w:firstLine="244" w:firstLineChars="100"/>
        <w:rPr>
          <w:rFonts w:hint="eastAsia" w:ascii="仿宋" w:hAnsi="仿宋" w:eastAsia="仿宋" w:cs="仿宋"/>
          <w:color w:val="auto"/>
          <w:spacing w:val="7"/>
          <w:sz w:val="23"/>
          <w:szCs w:val="23"/>
          <w:highlight w:val="none"/>
          <w:lang w:val="en-US" w:eastAsia="zh-CN"/>
        </w:rPr>
      </w:pPr>
    </w:p>
    <w:p w14:paraId="094CCBFF">
      <w:pPr>
        <w:spacing w:before="181" w:line="227" w:lineRule="auto"/>
        <w:ind w:firstLine="244" w:firstLineChars="100"/>
        <w:rPr>
          <w:rFonts w:hint="eastAsia" w:ascii="仿宋" w:hAnsi="仿宋" w:eastAsia="仿宋" w:cs="仿宋"/>
          <w:color w:val="auto"/>
          <w:spacing w:val="7"/>
          <w:sz w:val="23"/>
          <w:szCs w:val="23"/>
          <w:highlight w:val="none"/>
          <w:lang w:val="en-US" w:eastAsia="zh-CN"/>
        </w:rPr>
      </w:pPr>
    </w:p>
    <w:p w14:paraId="0EDD5472">
      <w:pPr>
        <w:spacing w:before="181" w:line="227" w:lineRule="auto"/>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lang w:val="en-US" w:eastAsia="zh-CN"/>
        </w:rPr>
        <w:t>5、</w:t>
      </w:r>
      <w:r>
        <w:rPr>
          <w:rFonts w:hint="eastAsia" w:ascii="仿宋" w:hAnsi="仿宋" w:eastAsia="仿宋" w:cs="仿宋"/>
          <w:color w:val="auto"/>
          <w:spacing w:val="7"/>
          <w:sz w:val="23"/>
          <w:szCs w:val="23"/>
          <w:highlight w:val="none"/>
        </w:rPr>
        <w:t>具有良好的商业信誉和健全的财务会计制度的证明文件（近三年）；</w:t>
      </w:r>
    </w:p>
    <w:p w14:paraId="0CF767F3">
      <w:pPr>
        <w:spacing w:before="181" w:line="227" w:lineRule="auto"/>
        <w:ind w:left="523"/>
        <w:rPr>
          <w:rFonts w:hint="eastAsia" w:ascii="仿宋" w:hAnsi="仿宋" w:eastAsia="仿宋" w:cs="仿宋"/>
          <w:color w:val="auto"/>
          <w:spacing w:val="7"/>
          <w:sz w:val="23"/>
          <w:szCs w:val="23"/>
          <w:highlight w:val="none"/>
          <w:lang w:val="en-US" w:eastAsia="zh-CN"/>
        </w:rPr>
      </w:pPr>
    </w:p>
    <w:p w14:paraId="4C428C0C">
      <w:pPr>
        <w:spacing w:before="181" w:line="227" w:lineRule="auto"/>
        <w:ind w:left="523"/>
        <w:rPr>
          <w:rFonts w:hint="eastAsia" w:ascii="仿宋" w:hAnsi="仿宋" w:eastAsia="仿宋" w:cs="仿宋"/>
          <w:color w:val="auto"/>
          <w:spacing w:val="7"/>
          <w:sz w:val="23"/>
          <w:szCs w:val="23"/>
          <w:highlight w:val="none"/>
          <w:lang w:val="en-US" w:eastAsia="zh-CN"/>
        </w:rPr>
      </w:pPr>
    </w:p>
    <w:p w14:paraId="58EB70C6">
      <w:pPr>
        <w:spacing w:before="181" w:line="227" w:lineRule="auto"/>
        <w:ind w:firstLine="244" w:firstLineChars="100"/>
        <w:rPr>
          <w:rFonts w:hint="eastAsia" w:ascii="仿宋" w:hAnsi="仿宋" w:eastAsia="仿宋" w:cs="仿宋"/>
          <w:color w:val="auto"/>
          <w:spacing w:val="7"/>
          <w:sz w:val="23"/>
          <w:szCs w:val="23"/>
          <w:highlight w:val="none"/>
          <w:lang w:val="en-US" w:eastAsia="zh-CN"/>
        </w:rPr>
      </w:pPr>
    </w:p>
    <w:p w14:paraId="789B3CD4">
      <w:pPr>
        <w:spacing w:before="181" w:line="227" w:lineRule="auto"/>
        <w:rPr>
          <w:rFonts w:hint="eastAsia" w:ascii="仿宋" w:hAnsi="仿宋" w:eastAsia="仿宋" w:cs="仿宋"/>
          <w:color w:val="auto"/>
          <w:spacing w:val="7"/>
          <w:sz w:val="23"/>
          <w:szCs w:val="23"/>
          <w:highlight w:val="none"/>
          <w:lang w:eastAsia="zh-CN"/>
        </w:rPr>
      </w:pPr>
      <w:r>
        <w:rPr>
          <w:rFonts w:hint="eastAsia" w:ascii="仿宋" w:hAnsi="仿宋" w:eastAsia="仿宋" w:cs="仿宋"/>
          <w:color w:val="auto"/>
          <w:spacing w:val="7"/>
          <w:sz w:val="23"/>
          <w:szCs w:val="23"/>
          <w:highlight w:val="none"/>
          <w:lang w:val="en-US" w:eastAsia="zh-CN"/>
        </w:rPr>
        <w:t>6、</w:t>
      </w:r>
      <w:r>
        <w:rPr>
          <w:rFonts w:hint="eastAsia" w:ascii="仿宋" w:hAnsi="仿宋" w:eastAsia="仿宋" w:cs="仿宋"/>
          <w:color w:val="auto"/>
          <w:spacing w:val="7"/>
          <w:sz w:val="23"/>
          <w:szCs w:val="23"/>
          <w:highlight w:val="none"/>
        </w:rPr>
        <w:t>参加政府采购活动前3年内在经营活动中没有重大违法记录的书面声明</w:t>
      </w:r>
      <w:r>
        <w:rPr>
          <w:rFonts w:hint="eastAsia" w:ascii="仿宋" w:hAnsi="仿宋" w:eastAsia="仿宋" w:cs="仿宋"/>
          <w:color w:val="auto"/>
          <w:spacing w:val="7"/>
          <w:sz w:val="23"/>
          <w:szCs w:val="23"/>
          <w:highlight w:val="none"/>
          <w:lang w:eastAsia="zh-CN"/>
        </w:rPr>
        <w:t>。</w:t>
      </w:r>
    </w:p>
    <w:p w14:paraId="44E4030D">
      <w:pPr>
        <w:spacing w:before="181" w:line="227" w:lineRule="auto"/>
        <w:ind w:left="523"/>
        <w:rPr>
          <w:rFonts w:hint="eastAsia" w:ascii="仿宋" w:hAnsi="仿宋" w:eastAsia="仿宋" w:cs="仿宋"/>
          <w:color w:val="auto"/>
          <w:spacing w:val="7"/>
          <w:sz w:val="23"/>
          <w:szCs w:val="23"/>
          <w:highlight w:val="none"/>
          <w:lang w:val="en-US" w:eastAsia="zh-CN"/>
        </w:rPr>
      </w:pPr>
    </w:p>
    <w:p w14:paraId="79638F40">
      <w:pPr>
        <w:pStyle w:val="4"/>
        <w:spacing w:line="301" w:lineRule="auto"/>
        <w:rPr>
          <w:rFonts w:hint="eastAsia" w:ascii="仿宋" w:hAnsi="仿宋" w:eastAsia="仿宋" w:cs="仿宋"/>
          <w:color w:val="auto"/>
          <w:sz w:val="21"/>
          <w:szCs w:val="21"/>
          <w:highlight w:val="none"/>
          <w:lang w:val="en-US" w:eastAsia="zh-CN"/>
        </w:rPr>
      </w:pPr>
    </w:p>
    <w:p w14:paraId="14F6EB4A">
      <w:pPr>
        <w:pStyle w:val="4"/>
        <w:spacing w:line="301" w:lineRule="auto"/>
        <w:rPr>
          <w:rFonts w:hint="eastAsia" w:ascii="仿宋" w:hAnsi="仿宋" w:eastAsia="仿宋" w:cs="仿宋"/>
          <w:color w:val="auto"/>
          <w:sz w:val="21"/>
          <w:szCs w:val="21"/>
          <w:highlight w:val="none"/>
          <w:lang w:val="en-US" w:eastAsia="zh-CN"/>
        </w:rPr>
      </w:pPr>
    </w:p>
    <w:p w14:paraId="0BE0214A">
      <w:pPr>
        <w:pStyle w:val="4"/>
        <w:numPr>
          <w:ilvl w:val="0"/>
          <w:numId w:val="0"/>
        </w:numPr>
        <w:spacing w:line="301" w:lineRule="auto"/>
        <w:rPr>
          <w:rFonts w:hint="eastAsia" w:ascii="仿宋" w:hAnsi="仿宋" w:eastAsia="仿宋" w:cs="仿宋"/>
          <w:snapToGrid w:val="0"/>
          <w:color w:val="auto"/>
          <w:spacing w:val="7"/>
          <w:kern w:val="0"/>
          <w:sz w:val="23"/>
          <w:szCs w:val="23"/>
          <w:highlight w:val="none"/>
          <w:lang w:val="en-US" w:eastAsia="zh-CN" w:bidi="ar-SA"/>
        </w:rPr>
      </w:pPr>
      <w:r>
        <w:rPr>
          <w:rFonts w:hint="eastAsia" w:ascii="仿宋" w:hAnsi="仿宋" w:eastAsia="仿宋" w:cs="仿宋"/>
          <w:snapToGrid w:val="0"/>
          <w:color w:val="auto"/>
          <w:spacing w:val="7"/>
          <w:kern w:val="0"/>
          <w:sz w:val="23"/>
          <w:szCs w:val="23"/>
          <w:highlight w:val="none"/>
          <w:lang w:val="en-US" w:eastAsia="zh-CN" w:bidi="ar-SA"/>
        </w:rPr>
        <w:t>7、特定资质：</w:t>
      </w:r>
    </w:p>
    <w:p w14:paraId="68EAB9BE">
      <w:pPr>
        <w:pStyle w:val="4"/>
        <w:numPr>
          <w:ilvl w:val="0"/>
          <w:numId w:val="0"/>
        </w:numPr>
        <w:spacing w:line="301" w:lineRule="auto"/>
        <w:rPr>
          <w:rFonts w:hint="eastAsia" w:ascii="仿宋" w:hAnsi="仿宋" w:eastAsia="仿宋" w:cs="仿宋"/>
          <w:snapToGrid w:val="0"/>
          <w:color w:val="auto"/>
          <w:spacing w:val="7"/>
          <w:kern w:val="0"/>
          <w:sz w:val="23"/>
          <w:szCs w:val="23"/>
          <w:highlight w:val="none"/>
          <w:lang w:val="en-US" w:eastAsia="zh-CN" w:bidi="ar-SA"/>
        </w:rPr>
      </w:pPr>
      <w:r>
        <w:rPr>
          <w:rFonts w:hint="eastAsia" w:ascii="仿宋" w:hAnsi="仿宋" w:eastAsia="仿宋" w:cs="仿宋"/>
          <w:snapToGrid w:val="0"/>
          <w:color w:val="auto"/>
          <w:spacing w:val="7"/>
          <w:kern w:val="0"/>
          <w:sz w:val="23"/>
          <w:szCs w:val="23"/>
          <w:highlight w:val="none"/>
          <w:lang w:val="en-US" w:eastAsia="zh-CN" w:bidi="ar-SA"/>
        </w:rPr>
        <w:t>【标项1】投标企业须具备行政主管部门颁发的测绘乙级及以上资质证书；</w:t>
      </w:r>
    </w:p>
    <w:p w14:paraId="3B6EA1AA">
      <w:pPr>
        <w:pStyle w:val="4"/>
        <w:numPr>
          <w:ilvl w:val="0"/>
          <w:numId w:val="0"/>
        </w:numPr>
        <w:spacing w:line="301" w:lineRule="auto"/>
        <w:rPr>
          <w:rFonts w:hint="eastAsia" w:ascii="仿宋" w:hAnsi="仿宋" w:eastAsia="仿宋" w:cs="仿宋"/>
          <w:snapToGrid w:val="0"/>
          <w:color w:val="auto"/>
          <w:spacing w:val="7"/>
          <w:kern w:val="0"/>
          <w:sz w:val="23"/>
          <w:szCs w:val="23"/>
          <w:highlight w:val="none"/>
          <w:lang w:val="en-US" w:eastAsia="zh-CN" w:bidi="ar-SA"/>
        </w:rPr>
      </w:pPr>
      <w:r>
        <w:rPr>
          <w:rFonts w:hint="eastAsia" w:ascii="仿宋" w:hAnsi="仿宋" w:eastAsia="仿宋" w:cs="仿宋"/>
          <w:snapToGrid w:val="0"/>
          <w:color w:val="auto"/>
          <w:spacing w:val="7"/>
          <w:kern w:val="0"/>
          <w:sz w:val="23"/>
          <w:szCs w:val="23"/>
          <w:highlight w:val="none"/>
          <w:lang w:val="en-US" w:eastAsia="zh-CN" w:bidi="ar-SA"/>
        </w:rPr>
        <w:t>【标项5】</w:t>
      </w:r>
      <w:r>
        <w:rPr>
          <w:rFonts w:hint="eastAsia" w:ascii="仿宋" w:hAnsi="仿宋" w:eastAsia="仿宋" w:cs="仿宋"/>
          <w:snapToGrid w:val="0"/>
          <w:color w:val="auto"/>
          <w:spacing w:val="7"/>
          <w:kern w:val="0"/>
          <w:sz w:val="23"/>
          <w:szCs w:val="23"/>
          <w:highlight w:val="none"/>
          <w:lang w:val="en-US" w:eastAsia="en-US" w:bidi="ar-SA"/>
        </w:rPr>
        <w:t>投标企业须</w:t>
      </w:r>
      <w:r>
        <w:rPr>
          <w:rFonts w:hint="eastAsia" w:ascii="仿宋" w:hAnsi="仿宋" w:eastAsia="仿宋" w:cs="仿宋"/>
          <w:snapToGrid w:val="0"/>
          <w:color w:val="auto"/>
          <w:spacing w:val="7"/>
          <w:kern w:val="0"/>
          <w:sz w:val="23"/>
          <w:szCs w:val="23"/>
          <w:highlight w:val="none"/>
          <w:lang w:val="en-US" w:eastAsia="zh-CN" w:bidi="ar-SA"/>
        </w:rPr>
        <w:t>具备</w:t>
      </w:r>
      <w:r>
        <w:rPr>
          <w:rFonts w:hint="eastAsia" w:ascii="仿宋" w:hAnsi="仿宋" w:eastAsia="仿宋" w:cs="仿宋"/>
          <w:snapToGrid w:val="0"/>
          <w:color w:val="auto"/>
          <w:spacing w:val="7"/>
          <w:kern w:val="0"/>
          <w:sz w:val="23"/>
          <w:szCs w:val="23"/>
          <w:highlight w:val="none"/>
          <w:lang w:val="en-US" w:eastAsia="en-US" w:bidi="ar-SA"/>
        </w:rPr>
        <w:t>国家行政主管部门合法登记注册，并具备有效的公证机构执业证书</w:t>
      </w:r>
      <w:r>
        <w:rPr>
          <w:rFonts w:hint="eastAsia" w:ascii="仿宋" w:hAnsi="仿宋" w:eastAsia="仿宋" w:cs="仿宋"/>
          <w:snapToGrid w:val="0"/>
          <w:color w:val="auto"/>
          <w:spacing w:val="7"/>
          <w:kern w:val="0"/>
          <w:sz w:val="23"/>
          <w:szCs w:val="23"/>
          <w:highlight w:val="none"/>
          <w:lang w:val="en-US" w:eastAsia="zh-CN" w:bidi="ar-SA"/>
        </w:rPr>
        <w:t>；</w:t>
      </w:r>
    </w:p>
    <w:p w14:paraId="7490DBF0">
      <w:pPr>
        <w:pStyle w:val="4"/>
        <w:numPr>
          <w:ilvl w:val="0"/>
          <w:numId w:val="0"/>
        </w:numPr>
        <w:spacing w:line="301" w:lineRule="auto"/>
        <w:rPr>
          <w:rFonts w:hint="eastAsia" w:ascii="仿宋" w:hAnsi="仿宋" w:eastAsia="仿宋" w:cs="仿宋"/>
          <w:snapToGrid w:val="0"/>
          <w:color w:val="auto"/>
          <w:spacing w:val="7"/>
          <w:kern w:val="0"/>
          <w:sz w:val="23"/>
          <w:szCs w:val="23"/>
          <w:highlight w:val="none"/>
          <w:lang w:val="en-US" w:eastAsia="zh-CN" w:bidi="ar-SA"/>
        </w:rPr>
      </w:pPr>
      <w:r>
        <w:rPr>
          <w:rFonts w:hint="eastAsia" w:ascii="仿宋" w:hAnsi="仿宋" w:eastAsia="仿宋" w:cs="仿宋"/>
          <w:snapToGrid w:val="0"/>
          <w:color w:val="auto"/>
          <w:spacing w:val="7"/>
          <w:kern w:val="0"/>
          <w:sz w:val="23"/>
          <w:szCs w:val="23"/>
          <w:highlight w:val="none"/>
          <w:lang w:val="en-US" w:eastAsia="zh-CN" w:bidi="ar-SA"/>
        </w:rPr>
        <w:t>【标项7】</w:t>
      </w:r>
      <w:r>
        <w:rPr>
          <w:rFonts w:hint="eastAsia" w:ascii="仿宋" w:hAnsi="仿宋" w:eastAsia="仿宋" w:cs="仿宋"/>
          <w:snapToGrid w:val="0"/>
          <w:color w:val="auto"/>
          <w:spacing w:val="7"/>
          <w:kern w:val="0"/>
          <w:sz w:val="23"/>
          <w:szCs w:val="23"/>
          <w:highlight w:val="none"/>
          <w:lang w:val="en-US" w:eastAsia="en-US" w:bidi="ar-SA"/>
        </w:rPr>
        <w:t>投标企业须</w:t>
      </w:r>
      <w:r>
        <w:rPr>
          <w:rFonts w:hint="eastAsia" w:ascii="仿宋" w:hAnsi="仿宋" w:eastAsia="仿宋" w:cs="仿宋"/>
          <w:snapToGrid w:val="0"/>
          <w:color w:val="auto"/>
          <w:spacing w:val="7"/>
          <w:kern w:val="0"/>
          <w:sz w:val="23"/>
          <w:szCs w:val="23"/>
          <w:highlight w:val="none"/>
          <w:lang w:val="en-US" w:eastAsia="zh-CN" w:bidi="ar-SA"/>
        </w:rPr>
        <w:t>具备[施工总承包·建筑工程·建筑工程二级](含)以上；施工项目负责人资质类别和等级：具有建筑工程专业二级注册建造师执业资格及有效的安全生产考核合格证书，且未担任其他在建建设工程项目的项目负责人，外省投标企业须提供《新疆维吾尔自治区区外建设工程企业信息登记册》或http://jsy.xjjs.gov.cn/下载审核通过的信息报送册；</w:t>
      </w:r>
    </w:p>
    <w:p w14:paraId="561B38BC">
      <w:pPr>
        <w:pStyle w:val="4"/>
        <w:numPr>
          <w:ilvl w:val="0"/>
          <w:numId w:val="0"/>
        </w:numPr>
        <w:spacing w:line="301" w:lineRule="auto"/>
        <w:rPr>
          <w:rFonts w:hint="eastAsia" w:ascii="仿宋" w:hAnsi="仿宋" w:eastAsia="仿宋" w:cs="仿宋"/>
          <w:snapToGrid w:val="0"/>
          <w:color w:val="auto"/>
          <w:spacing w:val="7"/>
          <w:kern w:val="0"/>
          <w:sz w:val="23"/>
          <w:szCs w:val="23"/>
          <w:highlight w:val="none"/>
          <w:lang w:val="en-US" w:eastAsia="zh-CN" w:bidi="ar-SA"/>
        </w:rPr>
      </w:pPr>
      <w:r>
        <w:rPr>
          <w:rFonts w:hint="eastAsia" w:ascii="仿宋" w:hAnsi="仿宋" w:eastAsia="仿宋" w:cs="仿宋"/>
          <w:snapToGrid w:val="0"/>
          <w:color w:val="auto"/>
          <w:spacing w:val="7"/>
          <w:kern w:val="0"/>
          <w:sz w:val="23"/>
          <w:szCs w:val="23"/>
          <w:highlight w:val="none"/>
          <w:lang w:val="en-US" w:eastAsia="zh-CN" w:bidi="ar-SA"/>
        </w:rPr>
        <w:t>【标项8】投标企业项目负责人须具备在本单位注册的土木建筑工程专业一级注册造价师；</w:t>
      </w:r>
    </w:p>
    <w:p w14:paraId="05B6D0ED">
      <w:pPr>
        <w:pStyle w:val="4"/>
        <w:numPr>
          <w:ilvl w:val="0"/>
          <w:numId w:val="0"/>
        </w:numPr>
        <w:spacing w:line="301" w:lineRule="auto"/>
        <w:rPr>
          <w:rFonts w:hint="eastAsia" w:ascii="仿宋" w:hAnsi="仿宋" w:eastAsia="仿宋" w:cs="仿宋"/>
          <w:snapToGrid w:val="0"/>
          <w:color w:val="auto"/>
          <w:spacing w:val="7"/>
          <w:kern w:val="0"/>
          <w:sz w:val="23"/>
          <w:szCs w:val="23"/>
          <w:highlight w:val="none"/>
          <w:lang w:val="en-US" w:eastAsia="zh-CN" w:bidi="ar-SA"/>
        </w:rPr>
      </w:pPr>
      <w:r>
        <w:rPr>
          <w:rFonts w:hint="eastAsia" w:ascii="仿宋" w:hAnsi="仿宋" w:eastAsia="仿宋" w:cs="仿宋"/>
          <w:snapToGrid w:val="0"/>
          <w:color w:val="auto"/>
          <w:spacing w:val="7"/>
          <w:kern w:val="0"/>
          <w:sz w:val="23"/>
          <w:szCs w:val="23"/>
          <w:highlight w:val="none"/>
          <w:lang w:val="en-US" w:eastAsia="zh-CN" w:bidi="ar-SA"/>
        </w:rPr>
        <w:t>【标项9】投标企业须具备国家许可和备案的(房地产估价机构备案证书)三级(含三级)及以上资质；拟任项目负责人具有房地产估价师资格。</w:t>
      </w:r>
    </w:p>
    <w:p w14:paraId="4DDE6F56">
      <w:pPr>
        <w:pStyle w:val="4"/>
        <w:numPr>
          <w:ilvl w:val="0"/>
          <w:numId w:val="0"/>
        </w:numPr>
        <w:spacing w:line="301" w:lineRule="auto"/>
        <w:rPr>
          <w:rFonts w:hint="eastAsia" w:ascii="仿宋" w:hAnsi="仿宋" w:eastAsia="仿宋" w:cs="仿宋"/>
          <w:color w:val="auto"/>
          <w:sz w:val="21"/>
          <w:szCs w:val="21"/>
          <w:highlight w:val="none"/>
        </w:rPr>
      </w:pPr>
    </w:p>
    <w:p w14:paraId="62511233">
      <w:pPr>
        <w:spacing w:before="181" w:line="227" w:lineRule="auto"/>
        <w:ind w:left="523"/>
        <w:rPr>
          <w:rFonts w:hint="eastAsia" w:ascii="仿宋" w:hAnsi="仿宋" w:eastAsia="仿宋" w:cs="仿宋"/>
          <w:color w:val="auto"/>
          <w:spacing w:val="7"/>
          <w:sz w:val="23"/>
          <w:szCs w:val="23"/>
          <w:highlight w:val="none"/>
          <w:lang w:val="en-US" w:eastAsia="zh-CN"/>
        </w:rPr>
      </w:pPr>
    </w:p>
    <w:p w14:paraId="7D33A5F1">
      <w:pPr>
        <w:spacing w:before="181" w:line="227" w:lineRule="auto"/>
        <w:rPr>
          <w:rFonts w:hint="eastAsia" w:ascii="仿宋" w:hAnsi="仿宋" w:eastAsia="仿宋" w:cs="仿宋"/>
          <w:color w:val="auto"/>
          <w:sz w:val="23"/>
          <w:szCs w:val="23"/>
          <w:highlight w:val="none"/>
          <w:lang w:eastAsia="zh-CN"/>
        </w:rPr>
        <w:sectPr>
          <w:footerReference r:id="rId32" w:type="default"/>
          <w:pgSz w:w="11905" w:h="16838"/>
          <w:pgMar w:top="1020" w:right="1134" w:bottom="1020" w:left="1134" w:header="0" w:footer="573" w:gutter="0"/>
          <w:pgNumType w:fmt="decimal"/>
          <w:cols w:space="0" w:num="1"/>
          <w:rtlGutter w:val="0"/>
          <w:docGrid w:linePitch="0" w:charSpace="0"/>
        </w:sectPr>
      </w:pPr>
      <w:r>
        <w:rPr>
          <w:rFonts w:hint="eastAsia" w:ascii="仿宋" w:hAnsi="仿宋" w:eastAsia="仿宋" w:cs="仿宋"/>
          <w:color w:val="auto"/>
          <w:spacing w:val="7"/>
          <w:sz w:val="23"/>
          <w:szCs w:val="23"/>
          <w:highlight w:val="none"/>
          <w:lang w:val="en-US" w:eastAsia="zh-CN"/>
        </w:rPr>
        <w:t>8、</w:t>
      </w:r>
      <w:r>
        <w:rPr>
          <w:rFonts w:hint="eastAsia" w:ascii="仿宋" w:hAnsi="仿宋" w:eastAsia="仿宋" w:cs="仿宋"/>
          <w:color w:val="auto"/>
          <w:spacing w:val="7"/>
          <w:sz w:val="23"/>
          <w:szCs w:val="23"/>
          <w:highlight w:val="none"/>
        </w:rPr>
        <w:t>供应商须知资料表要求的其他资格证明文件</w:t>
      </w:r>
      <w:r>
        <w:rPr>
          <w:rFonts w:hint="eastAsia" w:ascii="仿宋" w:hAnsi="仿宋" w:eastAsia="仿宋" w:cs="仿宋"/>
          <w:color w:val="auto"/>
          <w:spacing w:val="7"/>
          <w:sz w:val="23"/>
          <w:szCs w:val="23"/>
          <w:highlight w:val="none"/>
          <w:lang w:eastAsia="zh-CN"/>
        </w:rPr>
        <w:t>（</w:t>
      </w:r>
      <w:r>
        <w:rPr>
          <w:rFonts w:hint="eastAsia" w:ascii="仿宋" w:hAnsi="仿宋" w:eastAsia="仿宋" w:cs="仿宋"/>
          <w:color w:val="auto"/>
          <w:spacing w:val="7"/>
          <w:sz w:val="23"/>
          <w:szCs w:val="23"/>
          <w:highlight w:val="none"/>
          <w:lang w:val="en-US" w:eastAsia="zh-CN"/>
        </w:rPr>
        <w:t>格式自拟</w:t>
      </w:r>
      <w:r>
        <w:rPr>
          <w:rFonts w:hint="eastAsia" w:ascii="仿宋" w:hAnsi="仿宋" w:eastAsia="仿宋" w:cs="仿宋"/>
          <w:color w:val="auto"/>
          <w:spacing w:val="7"/>
          <w:sz w:val="23"/>
          <w:szCs w:val="23"/>
          <w:highlight w:val="none"/>
          <w:lang w:eastAsia="zh-CN"/>
        </w:rPr>
        <w:t>）</w:t>
      </w:r>
    </w:p>
    <w:p w14:paraId="406ABB58">
      <w:pPr>
        <w:pStyle w:val="4"/>
        <w:spacing w:line="272" w:lineRule="auto"/>
        <w:rPr>
          <w:rFonts w:hint="eastAsia" w:ascii="仿宋" w:hAnsi="仿宋" w:eastAsia="仿宋" w:cs="仿宋"/>
          <w:color w:val="auto"/>
          <w:highlight w:val="none"/>
        </w:rPr>
      </w:pPr>
    </w:p>
    <w:p w14:paraId="3B5133FD">
      <w:pPr>
        <w:spacing w:before="75" w:line="227" w:lineRule="auto"/>
        <w:ind w:left="193"/>
        <w:jc w:val="center"/>
        <w:rPr>
          <w:rFonts w:hint="eastAsia" w:ascii="仿宋" w:hAnsi="仿宋" w:eastAsia="仿宋" w:cs="仿宋"/>
          <w:color w:val="auto"/>
          <w:spacing w:val="7"/>
          <w:sz w:val="30"/>
          <w:szCs w:val="30"/>
          <w:highlight w:val="none"/>
        </w:rPr>
      </w:pPr>
      <w:r>
        <w:rPr>
          <w:rFonts w:hint="eastAsia" w:ascii="仿宋" w:hAnsi="仿宋" w:eastAsia="仿宋" w:cs="仿宋"/>
          <w:color w:val="auto"/>
          <w:spacing w:val="7"/>
          <w:sz w:val="30"/>
          <w:szCs w:val="30"/>
          <w:highlight w:val="none"/>
        </w:rPr>
        <w:t>第二部分  商务及技术文件</w:t>
      </w:r>
    </w:p>
    <w:p w14:paraId="72C11989">
      <w:pPr>
        <w:spacing w:before="75" w:line="227" w:lineRule="auto"/>
        <w:ind w:left="193"/>
        <w:jc w:val="center"/>
        <w:rPr>
          <w:rFonts w:hint="eastAsia" w:ascii="仿宋" w:hAnsi="仿宋" w:eastAsia="仿宋" w:cs="仿宋"/>
          <w:color w:val="auto"/>
          <w:spacing w:val="7"/>
          <w:sz w:val="30"/>
          <w:szCs w:val="30"/>
          <w:highlight w:val="none"/>
        </w:rPr>
      </w:pPr>
    </w:p>
    <w:p w14:paraId="4D3EAD7B">
      <w:pPr>
        <w:pStyle w:val="4"/>
        <w:spacing w:line="360" w:lineRule="auto"/>
        <w:rPr>
          <w:rFonts w:hint="eastAsia" w:ascii="仿宋" w:hAnsi="仿宋" w:eastAsia="仿宋" w:cs="仿宋"/>
          <w:color w:val="auto"/>
          <w:highlight w:val="none"/>
        </w:rPr>
      </w:pPr>
    </w:p>
    <w:p w14:paraId="068C340F">
      <w:pPr>
        <w:pStyle w:val="4"/>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1、报价一览表（见响应文件格式四）</w:t>
      </w:r>
    </w:p>
    <w:p w14:paraId="617F50A1">
      <w:pPr>
        <w:pStyle w:val="4"/>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2、征集响应书（见响应文件格式五）</w:t>
      </w:r>
    </w:p>
    <w:p w14:paraId="74CE13BA">
      <w:pPr>
        <w:pStyle w:val="4"/>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3、分项报价表（见响应文件格式六）</w:t>
      </w:r>
    </w:p>
    <w:p w14:paraId="03E7A915">
      <w:pPr>
        <w:pStyle w:val="4"/>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4、商务条款偏离表（见响应文件格式七）</w:t>
      </w:r>
    </w:p>
    <w:p w14:paraId="5F6E6782">
      <w:pPr>
        <w:pStyle w:val="4"/>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5、征集文件要求的所有技术文件（见响应文件格式八）</w:t>
      </w:r>
    </w:p>
    <w:p w14:paraId="7B05F88D">
      <w:pPr>
        <w:pStyle w:val="4"/>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6、中小企业声明函</w:t>
      </w:r>
    </w:p>
    <w:p w14:paraId="5FC15BA9">
      <w:pPr>
        <w:pStyle w:val="4"/>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、供应商须知资料表要求的其他文件</w:t>
      </w:r>
    </w:p>
    <w:p w14:paraId="3B502EB3">
      <w:pPr>
        <w:spacing w:line="360" w:lineRule="auto"/>
        <w:rPr>
          <w:rFonts w:hint="eastAsia" w:ascii="仿宋" w:hAnsi="仿宋" w:eastAsia="仿宋" w:cs="仿宋"/>
          <w:color w:val="auto"/>
          <w:sz w:val="23"/>
          <w:szCs w:val="23"/>
          <w:highlight w:val="none"/>
        </w:rPr>
        <w:sectPr>
          <w:footerReference r:id="rId33" w:type="default"/>
          <w:pgSz w:w="11905" w:h="16838"/>
          <w:pgMar w:top="1020" w:right="1134" w:bottom="1020" w:left="1134" w:header="0" w:footer="573" w:gutter="0"/>
          <w:pgNumType w:fmt="decimal"/>
          <w:cols w:space="0" w:num="1"/>
          <w:rtlGutter w:val="0"/>
          <w:docGrid w:linePitch="0" w:charSpace="0"/>
        </w:sectPr>
      </w:pPr>
    </w:p>
    <w:p w14:paraId="7DC8DD11">
      <w:pPr>
        <w:spacing w:before="75" w:line="226" w:lineRule="auto"/>
        <w:ind w:left="607"/>
        <w:jc w:val="center"/>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1</w:t>
      </w:r>
      <w:r>
        <w:rPr>
          <w:rFonts w:hint="eastAsia" w:ascii="仿宋" w:hAnsi="仿宋" w:eastAsia="仿宋" w:cs="仿宋"/>
          <w:color w:val="auto"/>
          <w:spacing w:val="73"/>
          <w:sz w:val="23"/>
          <w:szCs w:val="23"/>
          <w:highlight w:val="none"/>
        </w:rPr>
        <w:t xml:space="preserve"> </w:t>
      </w:r>
      <w:r>
        <w:rPr>
          <w:rFonts w:hint="eastAsia" w:ascii="仿宋" w:hAnsi="仿宋" w:eastAsia="仿宋" w:cs="仿宋"/>
          <w:color w:val="auto"/>
          <w:spacing w:val="-1"/>
          <w:sz w:val="23"/>
          <w:szCs w:val="23"/>
          <w:highlight w:val="none"/>
        </w:rPr>
        <w:t>报价一览表</w:t>
      </w:r>
    </w:p>
    <w:p w14:paraId="721C7F40">
      <w:pPr>
        <w:spacing w:before="189" w:line="227" w:lineRule="auto"/>
        <w:ind w:left="3622" w:firstLine="714" w:firstLineChars="300"/>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（响应文件格式四）</w:t>
      </w:r>
    </w:p>
    <w:p w14:paraId="50F53D07">
      <w:pPr>
        <w:pStyle w:val="4"/>
        <w:spacing w:line="326" w:lineRule="auto"/>
        <w:rPr>
          <w:rFonts w:hint="eastAsia" w:ascii="仿宋" w:hAnsi="仿宋" w:eastAsia="仿宋" w:cs="仿宋"/>
          <w:color w:val="auto"/>
          <w:highlight w:val="none"/>
        </w:rPr>
      </w:pPr>
    </w:p>
    <w:p w14:paraId="21E968E3">
      <w:pPr>
        <w:pStyle w:val="21"/>
        <w:spacing w:before="108" w:line="228" w:lineRule="auto"/>
        <w:rPr>
          <w:rFonts w:hint="eastAsia" w:ascii="仿宋" w:hAnsi="仿宋" w:eastAsia="仿宋" w:cs="仿宋"/>
          <w:color w:val="auto"/>
          <w:spacing w:val="5"/>
          <w:highlight w:val="none"/>
        </w:rPr>
      </w:pPr>
      <w:r>
        <w:rPr>
          <w:rFonts w:hint="eastAsia" w:ascii="仿宋" w:hAnsi="仿宋" w:eastAsia="仿宋" w:cs="仿宋"/>
          <w:color w:val="auto"/>
          <w:spacing w:val="5"/>
          <w:highlight w:val="none"/>
        </w:rPr>
        <w:t xml:space="preserve">招标项目名称： </w:t>
      </w:r>
      <w:r>
        <w:rPr>
          <w:rFonts w:ascii="宋体" w:hAnsi="宋体" w:eastAsia="宋体" w:cs="宋体"/>
          <w:color w:val="auto"/>
          <w:sz w:val="23"/>
          <w:szCs w:val="23"/>
          <w:highlight w:val="none"/>
          <w:u w:val="single" w:color="auto"/>
        </w:rPr>
        <w:t xml:space="preserve">                         </w:t>
      </w:r>
      <w:r>
        <w:rPr>
          <w:rFonts w:hint="eastAsia" w:ascii="仿宋" w:hAnsi="仿宋" w:eastAsia="仿宋" w:cs="仿宋"/>
          <w:color w:val="auto"/>
          <w:spacing w:val="5"/>
          <w:highlight w:val="none"/>
        </w:rPr>
        <w:t xml:space="preserve">                         </w:t>
      </w:r>
    </w:p>
    <w:p w14:paraId="23191AD5">
      <w:pPr>
        <w:pStyle w:val="21"/>
        <w:spacing w:before="108" w:line="228" w:lineRule="auto"/>
        <w:rPr>
          <w:rFonts w:ascii="宋体" w:hAnsi="宋体" w:eastAsia="宋体" w:cs="宋体"/>
          <w:color w:val="auto"/>
          <w:sz w:val="23"/>
          <w:szCs w:val="23"/>
          <w:highlight w:val="none"/>
        </w:rPr>
      </w:pPr>
      <w:r>
        <w:rPr>
          <w:rFonts w:hint="eastAsia" w:ascii="仿宋" w:hAnsi="仿宋" w:eastAsia="仿宋" w:cs="仿宋"/>
          <w:color w:val="auto"/>
          <w:spacing w:val="5"/>
          <w:highlight w:val="none"/>
        </w:rPr>
        <w:t xml:space="preserve">招标项目编号： </w:t>
      </w:r>
      <w:r>
        <w:rPr>
          <w:rFonts w:ascii="宋体" w:hAnsi="宋体" w:eastAsia="宋体" w:cs="宋体"/>
          <w:color w:val="auto"/>
          <w:sz w:val="23"/>
          <w:szCs w:val="23"/>
          <w:highlight w:val="none"/>
          <w:u w:val="single" w:color="auto"/>
        </w:rPr>
        <w:t xml:space="preserve">                         </w:t>
      </w:r>
    </w:p>
    <w:p w14:paraId="437E14CB">
      <w:pPr>
        <w:pStyle w:val="4"/>
        <w:spacing w:line="327" w:lineRule="auto"/>
        <w:rPr>
          <w:rFonts w:hint="eastAsia" w:ascii="仿宋" w:hAnsi="仿宋" w:eastAsia="仿宋" w:cs="仿宋"/>
          <w:color w:val="auto"/>
          <w:highlight w:val="none"/>
        </w:rPr>
      </w:pPr>
    </w:p>
    <w:p w14:paraId="7AACF589">
      <w:pPr>
        <w:spacing w:before="213" w:line="227" w:lineRule="auto"/>
        <w:ind w:left="5914" w:firstLine="1700" w:firstLineChars="700"/>
        <w:rPr>
          <w:rFonts w:hint="eastAsia" w:ascii="仿宋" w:hAnsi="仿宋" w:eastAsia="仿宋" w:cs="仿宋"/>
          <w:b/>
          <w:bCs/>
          <w:color w:val="auto"/>
          <w:sz w:val="23"/>
          <w:szCs w:val="23"/>
          <w:highlight w:val="none"/>
        </w:rPr>
      </w:pPr>
      <w:r>
        <w:rPr>
          <w:rFonts w:hint="eastAsia" w:ascii="仿宋" w:hAnsi="仿宋" w:eastAsia="仿宋" w:cs="仿宋"/>
          <w:b/>
          <w:bCs/>
          <w:color w:val="auto"/>
          <w:spacing w:val="6"/>
          <w:sz w:val="23"/>
          <w:szCs w:val="23"/>
          <w:highlight w:val="none"/>
        </w:rPr>
        <w:t>单位：</w:t>
      </w:r>
      <w:r>
        <w:rPr>
          <w:rFonts w:hint="eastAsia" w:ascii="仿宋" w:hAnsi="仿宋" w:eastAsia="仿宋" w:cs="仿宋"/>
          <w:b/>
          <w:bCs/>
          <w:color w:val="auto"/>
          <w:spacing w:val="6"/>
          <w:sz w:val="23"/>
          <w:szCs w:val="23"/>
          <w:highlight w:val="none"/>
          <w:lang w:val="en-US" w:eastAsia="zh-CN"/>
        </w:rPr>
        <w:t>%</w:t>
      </w:r>
    </w:p>
    <w:p w14:paraId="4BA5445E">
      <w:pPr>
        <w:spacing w:line="94" w:lineRule="auto"/>
        <w:rPr>
          <w:rFonts w:hint="eastAsia" w:ascii="仿宋" w:hAnsi="仿宋" w:eastAsia="仿宋" w:cs="仿宋"/>
          <w:color w:val="auto"/>
          <w:sz w:val="2"/>
          <w:highlight w:val="none"/>
        </w:rPr>
      </w:pPr>
    </w:p>
    <w:tbl>
      <w:tblPr>
        <w:tblStyle w:val="20"/>
        <w:tblW w:w="8783" w:type="dxa"/>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6"/>
        <w:gridCol w:w="972"/>
        <w:gridCol w:w="6185"/>
      </w:tblGrid>
      <w:tr w14:paraId="5C6FE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598" w:type="dxa"/>
            <w:gridSpan w:val="2"/>
            <w:vAlign w:val="top"/>
          </w:tcPr>
          <w:p w14:paraId="1ADC0EBD">
            <w:pPr>
              <w:pStyle w:val="21"/>
              <w:spacing w:before="130" w:line="228" w:lineRule="auto"/>
              <w:ind w:left="840"/>
              <w:rPr>
                <w:rFonts w:hint="eastAsia" w:ascii="仿宋" w:hAnsi="仿宋" w:eastAsia="仿宋" w:cs="仿宋"/>
                <w:color w:val="auto"/>
                <w:highlight w:val="none"/>
              </w:rPr>
            </w:pPr>
            <w:r>
              <w:rPr>
                <w:rFonts w:hint="eastAsia" w:ascii="仿宋" w:hAnsi="仿宋" w:eastAsia="仿宋" w:cs="仿宋"/>
                <w:color w:val="auto"/>
                <w:spacing w:val="5"/>
                <w:highlight w:val="none"/>
              </w:rPr>
              <w:t>项目名称</w:t>
            </w:r>
          </w:p>
        </w:tc>
        <w:tc>
          <w:tcPr>
            <w:tcW w:w="6185" w:type="dxa"/>
            <w:vAlign w:val="top"/>
          </w:tcPr>
          <w:p w14:paraId="6402425C">
            <w:pPr>
              <w:rPr>
                <w:rFonts w:hint="eastAsia" w:ascii="仿宋" w:hAnsi="仿宋" w:eastAsia="仿宋" w:cs="仿宋"/>
                <w:color w:val="auto"/>
                <w:sz w:val="21"/>
                <w:highlight w:val="none"/>
              </w:rPr>
            </w:pPr>
          </w:p>
        </w:tc>
      </w:tr>
      <w:tr w14:paraId="07848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2598" w:type="dxa"/>
            <w:gridSpan w:val="2"/>
            <w:vAlign w:val="top"/>
          </w:tcPr>
          <w:p w14:paraId="07C04DE8">
            <w:pPr>
              <w:pStyle w:val="21"/>
              <w:spacing w:before="108" w:line="228" w:lineRule="auto"/>
              <w:ind w:left="835"/>
              <w:rPr>
                <w:rFonts w:hint="eastAsia" w:ascii="仿宋" w:hAnsi="仿宋" w:eastAsia="仿宋" w:cs="仿宋"/>
                <w:color w:val="auto"/>
                <w:highlight w:val="none"/>
              </w:rPr>
            </w:pPr>
            <w:r>
              <w:rPr>
                <w:rFonts w:hint="eastAsia" w:ascii="仿宋" w:hAnsi="仿宋" w:eastAsia="仿宋" w:cs="仿宋"/>
                <w:color w:val="auto"/>
                <w:spacing w:val="5"/>
                <w:highlight w:val="none"/>
              </w:rPr>
              <w:t>协议时间</w:t>
            </w:r>
          </w:p>
        </w:tc>
        <w:tc>
          <w:tcPr>
            <w:tcW w:w="6185" w:type="dxa"/>
            <w:vAlign w:val="top"/>
          </w:tcPr>
          <w:p w14:paraId="4E34601A">
            <w:pPr>
              <w:rPr>
                <w:rFonts w:hint="eastAsia" w:ascii="仿宋" w:hAnsi="仿宋" w:eastAsia="仿宋" w:cs="仿宋"/>
                <w:color w:val="auto"/>
                <w:sz w:val="21"/>
                <w:highlight w:val="none"/>
              </w:rPr>
            </w:pPr>
          </w:p>
        </w:tc>
      </w:tr>
      <w:tr w14:paraId="2A560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598" w:type="dxa"/>
            <w:gridSpan w:val="2"/>
            <w:vAlign w:val="top"/>
          </w:tcPr>
          <w:p w14:paraId="1D5296A9">
            <w:pPr>
              <w:pStyle w:val="21"/>
              <w:spacing w:before="127" w:line="228" w:lineRule="auto"/>
              <w:ind w:left="719"/>
              <w:rPr>
                <w:rFonts w:hint="eastAsia" w:ascii="仿宋" w:hAnsi="仿宋" w:eastAsia="仿宋" w:cs="仿宋"/>
                <w:color w:val="auto"/>
                <w:highlight w:val="none"/>
              </w:rPr>
            </w:pPr>
            <w:r>
              <w:rPr>
                <w:rFonts w:hint="eastAsia" w:ascii="仿宋" w:hAnsi="仿宋" w:eastAsia="仿宋" w:cs="仿宋"/>
                <w:color w:val="auto"/>
                <w:spacing w:val="5"/>
                <w:highlight w:val="none"/>
              </w:rPr>
              <w:t>投标有效期</w:t>
            </w:r>
          </w:p>
        </w:tc>
        <w:tc>
          <w:tcPr>
            <w:tcW w:w="6185" w:type="dxa"/>
            <w:vAlign w:val="top"/>
          </w:tcPr>
          <w:p w14:paraId="755C9FB6">
            <w:pPr>
              <w:pStyle w:val="21"/>
              <w:spacing w:before="127" w:line="228" w:lineRule="auto"/>
              <w:ind w:left="2866"/>
              <w:rPr>
                <w:rFonts w:hint="eastAsia" w:ascii="仿宋" w:hAnsi="仿宋" w:eastAsia="仿宋" w:cs="仿宋"/>
                <w:color w:val="auto"/>
                <w:highlight w:val="none"/>
              </w:rPr>
            </w:pPr>
            <w:r>
              <w:rPr>
                <w:rFonts w:hint="eastAsia" w:ascii="仿宋" w:hAnsi="仿宋" w:eastAsia="仿宋" w:cs="仿宋"/>
                <w:color w:val="auto"/>
                <w:highlight w:val="none"/>
              </w:rPr>
              <w:t>90天</w:t>
            </w:r>
          </w:p>
        </w:tc>
      </w:tr>
      <w:tr w14:paraId="7D64B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1626" w:type="dxa"/>
            <w:vMerge w:val="restart"/>
            <w:tcBorders>
              <w:bottom w:val="nil"/>
            </w:tcBorders>
            <w:vAlign w:val="center"/>
          </w:tcPr>
          <w:p w14:paraId="79D3FE00">
            <w:pPr>
              <w:pStyle w:val="21"/>
              <w:spacing w:before="184" w:line="226" w:lineRule="auto"/>
              <w:ind w:left="352"/>
              <w:jc w:val="left"/>
              <w:rPr>
                <w:rFonts w:hint="eastAsia" w:ascii="仿宋" w:hAnsi="仿宋" w:eastAsia="仿宋" w:cs="仿宋"/>
                <w:color w:val="auto"/>
                <w:highlight w:val="none"/>
              </w:rPr>
            </w:pPr>
            <w:r>
              <w:rPr>
                <w:rFonts w:hint="eastAsia" w:ascii="仿宋" w:hAnsi="仿宋" w:eastAsia="仿宋" w:cs="仿宋"/>
                <w:color w:val="auto"/>
                <w:spacing w:val="3"/>
                <w:highlight w:val="none"/>
              </w:rPr>
              <w:t>投标报价</w:t>
            </w:r>
          </w:p>
          <w:p w14:paraId="5C6710B6">
            <w:pPr>
              <w:pStyle w:val="21"/>
              <w:spacing w:before="42"/>
              <w:ind w:left="548"/>
              <w:jc w:val="left"/>
              <w:rPr>
                <w:rFonts w:hint="eastAsia" w:ascii="仿宋" w:hAnsi="仿宋" w:eastAsia="仿宋" w:cs="仿宋"/>
                <w:color w:val="auto"/>
                <w:highlight w:val="none"/>
              </w:rPr>
            </w:pP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lang w:val="en-US" w:eastAsia="zh-CN"/>
              </w:rPr>
              <w:t>%</w:t>
            </w:r>
            <w:r>
              <w:rPr>
                <w:rFonts w:hint="eastAsia" w:ascii="仿宋" w:hAnsi="仿宋" w:eastAsia="仿宋" w:cs="仿宋"/>
                <w:color w:val="auto"/>
                <w:spacing w:val="-4"/>
                <w:highlight w:val="none"/>
              </w:rPr>
              <w:t>）</w:t>
            </w:r>
          </w:p>
        </w:tc>
        <w:tc>
          <w:tcPr>
            <w:tcW w:w="972" w:type="dxa"/>
            <w:vAlign w:val="top"/>
          </w:tcPr>
          <w:p w14:paraId="27D23784">
            <w:pPr>
              <w:pStyle w:val="21"/>
              <w:spacing w:before="102" w:line="230" w:lineRule="auto"/>
              <w:ind w:left="273"/>
              <w:rPr>
                <w:rFonts w:hint="eastAsia" w:ascii="仿宋" w:hAnsi="仿宋" w:eastAsia="仿宋" w:cs="仿宋"/>
                <w:color w:val="auto"/>
                <w:highlight w:val="none"/>
              </w:rPr>
            </w:pPr>
            <w:r>
              <w:rPr>
                <w:rFonts w:hint="eastAsia" w:ascii="仿宋" w:hAnsi="仿宋" w:eastAsia="仿宋" w:cs="仿宋"/>
                <w:color w:val="auto"/>
                <w:spacing w:val="-2"/>
                <w:highlight w:val="none"/>
              </w:rPr>
              <w:t>小写</w:t>
            </w:r>
          </w:p>
        </w:tc>
        <w:tc>
          <w:tcPr>
            <w:tcW w:w="6185" w:type="dxa"/>
            <w:vAlign w:val="top"/>
          </w:tcPr>
          <w:p w14:paraId="78EDF4B2">
            <w:pPr>
              <w:rPr>
                <w:rFonts w:hint="eastAsia" w:ascii="仿宋" w:hAnsi="仿宋" w:eastAsia="仿宋" w:cs="仿宋"/>
                <w:color w:val="auto"/>
                <w:sz w:val="21"/>
                <w:highlight w:val="none"/>
              </w:rPr>
            </w:pPr>
          </w:p>
        </w:tc>
      </w:tr>
      <w:tr w14:paraId="6D250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626" w:type="dxa"/>
            <w:vMerge w:val="continue"/>
            <w:tcBorders>
              <w:top w:val="nil"/>
            </w:tcBorders>
            <w:vAlign w:val="top"/>
          </w:tcPr>
          <w:p w14:paraId="46BC784A">
            <w:pPr>
              <w:rPr>
                <w:rFonts w:hint="eastAsia" w:ascii="仿宋" w:hAnsi="仿宋" w:eastAsia="仿宋" w:cs="仿宋"/>
                <w:color w:val="auto"/>
                <w:sz w:val="21"/>
                <w:highlight w:val="none"/>
              </w:rPr>
            </w:pPr>
          </w:p>
        </w:tc>
        <w:tc>
          <w:tcPr>
            <w:tcW w:w="972" w:type="dxa"/>
            <w:vAlign w:val="top"/>
          </w:tcPr>
          <w:p w14:paraId="77F9983E">
            <w:pPr>
              <w:pStyle w:val="21"/>
              <w:spacing w:before="129" w:line="228" w:lineRule="auto"/>
              <w:ind w:left="264"/>
              <w:rPr>
                <w:rFonts w:hint="eastAsia" w:ascii="仿宋" w:hAnsi="仿宋" w:eastAsia="仿宋" w:cs="仿宋"/>
                <w:color w:val="auto"/>
                <w:highlight w:val="none"/>
              </w:rPr>
            </w:pPr>
            <w:r>
              <w:rPr>
                <w:rFonts w:hint="eastAsia" w:ascii="仿宋" w:hAnsi="仿宋" w:eastAsia="仿宋" w:cs="仿宋"/>
                <w:color w:val="auto"/>
                <w:highlight w:val="none"/>
              </w:rPr>
              <w:t>大写</w:t>
            </w:r>
          </w:p>
        </w:tc>
        <w:tc>
          <w:tcPr>
            <w:tcW w:w="6185" w:type="dxa"/>
            <w:vAlign w:val="top"/>
          </w:tcPr>
          <w:p w14:paraId="7132D320">
            <w:pPr>
              <w:rPr>
                <w:rFonts w:hint="eastAsia" w:ascii="仿宋" w:hAnsi="仿宋" w:eastAsia="仿宋" w:cs="仿宋"/>
                <w:color w:val="auto"/>
                <w:sz w:val="21"/>
                <w:highlight w:val="none"/>
              </w:rPr>
            </w:pPr>
          </w:p>
        </w:tc>
      </w:tr>
      <w:tr w14:paraId="75CBE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8783" w:type="dxa"/>
            <w:gridSpan w:val="3"/>
            <w:vAlign w:val="top"/>
          </w:tcPr>
          <w:p w14:paraId="55DB7809">
            <w:pPr>
              <w:spacing w:line="314" w:lineRule="auto"/>
              <w:rPr>
                <w:rFonts w:hint="eastAsia" w:ascii="仿宋" w:hAnsi="仿宋" w:eastAsia="仿宋" w:cs="仿宋"/>
                <w:color w:val="auto"/>
                <w:sz w:val="21"/>
                <w:highlight w:val="none"/>
              </w:rPr>
            </w:pPr>
          </w:p>
          <w:p w14:paraId="19249974">
            <w:pPr>
              <w:pStyle w:val="21"/>
              <w:spacing w:before="74" w:line="229" w:lineRule="auto"/>
              <w:ind w:left="131"/>
              <w:outlineLvl w:val="2"/>
              <w:rPr>
                <w:rFonts w:hint="eastAsia" w:ascii="仿宋" w:hAnsi="仿宋" w:eastAsia="仿宋" w:cs="仿宋"/>
                <w:color w:val="auto"/>
                <w:highlight w:val="none"/>
              </w:rPr>
            </w:pPr>
            <w:r>
              <w:rPr>
                <w:rFonts w:hint="eastAsia" w:ascii="仿宋" w:hAnsi="仿宋" w:eastAsia="仿宋" w:cs="仿宋"/>
                <w:color w:val="auto"/>
                <w:highlight w:val="none"/>
              </w:rPr>
              <w:t>备注：</w:t>
            </w:r>
          </w:p>
        </w:tc>
      </w:tr>
      <w:tr w14:paraId="26266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783" w:type="dxa"/>
            <w:gridSpan w:val="3"/>
            <w:vAlign w:val="center"/>
          </w:tcPr>
          <w:p w14:paraId="5027D863">
            <w:pPr>
              <w:pStyle w:val="21"/>
              <w:spacing w:before="75" w:line="226" w:lineRule="auto"/>
              <w:jc w:val="left"/>
              <w:rPr>
                <w:rFonts w:hint="eastAsia" w:ascii="仿宋" w:hAnsi="仿宋" w:eastAsia="仿宋" w:cs="仿宋"/>
                <w:color w:val="auto"/>
                <w:highlight w:val="none"/>
                <w:lang w:eastAsia="zh-CN"/>
              </w:rPr>
            </w:pPr>
            <w:r>
              <w:rPr>
                <w:rFonts w:hint="eastAsia" w:ascii="仿宋" w:hAnsi="仿宋" w:eastAsia="仿宋" w:cs="仿宋"/>
                <w:b/>
                <w:bCs/>
                <w:color w:val="auto"/>
                <w:spacing w:val="4"/>
                <w:highlight w:val="none"/>
              </w:rPr>
              <w:t>说明</w:t>
            </w:r>
            <w:r>
              <w:rPr>
                <w:rFonts w:hint="eastAsia" w:ascii="仿宋" w:hAnsi="仿宋" w:eastAsia="仿宋" w:cs="仿宋"/>
                <w:b/>
                <w:bCs/>
                <w:color w:val="auto"/>
                <w:spacing w:val="4"/>
                <w:highlight w:val="none"/>
                <w:lang w:eastAsia="zh-CN"/>
              </w:rPr>
              <w:t>：</w:t>
            </w:r>
            <w:r>
              <w:rPr>
                <w:rFonts w:hint="eastAsia" w:ascii="仿宋" w:hAnsi="仿宋" w:eastAsia="仿宋" w:cs="仿宋"/>
                <w:b/>
                <w:bCs/>
                <w:color w:val="auto"/>
                <w:spacing w:val="4"/>
                <w:highlight w:val="none"/>
              </w:rPr>
              <w:t>投标人报价不得超过</w:t>
            </w:r>
            <w:r>
              <w:rPr>
                <w:rFonts w:hint="eastAsia" w:ascii="仿宋" w:hAnsi="仿宋" w:eastAsia="仿宋" w:cs="仿宋"/>
                <w:b/>
                <w:bCs/>
                <w:color w:val="auto"/>
                <w:spacing w:val="4"/>
                <w:highlight w:val="none"/>
                <w:lang w:val="en-US" w:eastAsia="zh-CN"/>
              </w:rPr>
              <w:t>最高限价</w:t>
            </w:r>
            <w:r>
              <w:rPr>
                <w:rFonts w:hint="eastAsia" w:ascii="仿宋" w:hAnsi="仿宋" w:eastAsia="仿宋" w:cs="仿宋"/>
                <w:b/>
                <w:bCs/>
                <w:color w:val="auto"/>
                <w:spacing w:val="4"/>
                <w:highlight w:val="none"/>
                <w:lang w:eastAsia="zh-CN"/>
              </w:rPr>
              <w:t>。</w:t>
            </w:r>
          </w:p>
        </w:tc>
      </w:tr>
    </w:tbl>
    <w:p w14:paraId="2849AE87">
      <w:pPr>
        <w:spacing w:before="208" w:line="227" w:lineRule="auto"/>
        <w:ind w:left="505"/>
        <w:rPr>
          <w:rFonts w:hint="eastAsia" w:ascii="仿宋" w:hAnsi="仿宋" w:eastAsia="仿宋" w:cs="仿宋"/>
          <w:color w:val="auto"/>
          <w:sz w:val="23"/>
          <w:szCs w:val="23"/>
          <w:highlight w:val="none"/>
        </w:rPr>
      </w:pPr>
      <w:r>
        <w:rPr>
          <w:rFonts w:hint="eastAsia" w:ascii="仿宋" w:hAnsi="仿宋" w:eastAsia="仿宋" w:cs="仿宋"/>
          <w:color w:val="auto"/>
          <w:spacing w:val="3"/>
          <w:sz w:val="23"/>
          <w:szCs w:val="23"/>
          <w:highlight w:val="none"/>
        </w:rPr>
        <w:t>填写说明：</w:t>
      </w:r>
    </w:p>
    <w:p w14:paraId="0D7448B5">
      <w:pPr>
        <w:spacing w:before="234" w:line="395" w:lineRule="auto"/>
        <w:ind w:left="30" w:right="581" w:firstLine="514"/>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1.开标时，本表中的内容与投标文件中的投标函、货物</w:t>
      </w:r>
      <w:r>
        <w:rPr>
          <w:rFonts w:hint="eastAsia" w:ascii="仿宋" w:hAnsi="仿宋" w:eastAsia="仿宋" w:cs="仿宋"/>
          <w:color w:val="auto"/>
          <w:spacing w:val="5"/>
          <w:sz w:val="23"/>
          <w:szCs w:val="23"/>
          <w:highlight w:val="none"/>
          <w:lang w:eastAsia="zh-CN"/>
        </w:rPr>
        <w:t>（</w:t>
      </w:r>
      <w:r>
        <w:rPr>
          <w:rFonts w:hint="eastAsia" w:ascii="仿宋" w:hAnsi="仿宋" w:eastAsia="仿宋" w:cs="仿宋"/>
          <w:color w:val="auto"/>
          <w:spacing w:val="5"/>
          <w:sz w:val="23"/>
          <w:szCs w:val="23"/>
          <w:highlight w:val="none"/>
          <w:lang w:val="en-US" w:eastAsia="zh-CN"/>
        </w:rPr>
        <w:t>服务</w:t>
      </w:r>
      <w:r>
        <w:rPr>
          <w:rFonts w:hint="eastAsia" w:ascii="仿宋" w:hAnsi="仿宋" w:eastAsia="仿宋" w:cs="仿宋"/>
          <w:color w:val="auto"/>
          <w:spacing w:val="5"/>
          <w:sz w:val="23"/>
          <w:szCs w:val="23"/>
          <w:highlight w:val="none"/>
          <w:lang w:eastAsia="zh-CN"/>
        </w:rPr>
        <w:t>）</w:t>
      </w:r>
      <w:r>
        <w:rPr>
          <w:rFonts w:hint="eastAsia" w:ascii="仿宋" w:hAnsi="仿宋" w:eastAsia="仿宋" w:cs="仿宋"/>
          <w:color w:val="auto"/>
          <w:spacing w:val="5"/>
          <w:sz w:val="23"/>
          <w:szCs w:val="23"/>
          <w:highlight w:val="none"/>
        </w:rPr>
        <w:t>价格明细表及分项价</w:t>
      </w:r>
      <w:r>
        <w:rPr>
          <w:rFonts w:hint="eastAsia" w:ascii="仿宋" w:hAnsi="仿宋" w:eastAsia="仿宋" w:cs="仿宋"/>
          <w:color w:val="auto"/>
          <w:spacing w:val="7"/>
          <w:sz w:val="23"/>
          <w:szCs w:val="23"/>
          <w:highlight w:val="none"/>
        </w:rPr>
        <w:t>格表的内容不一致的，以本表为准；大写金额与小写金额不</w:t>
      </w:r>
      <w:r>
        <w:rPr>
          <w:rFonts w:hint="eastAsia" w:ascii="仿宋" w:hAnsi="仿宋" w:eastAsia="仿宋" w:cs="仿宋"/>
          <w:color w:val="auto"/>
          <w:spacing w:val="6"/>
          <w:sz w:val="23"/>
          <w:szCs w:val="23"/>
          <w:highlight w:val="none"/>
        </w:rPr>
        <w:t>一致的，以大写金额</w:t>
      </w:r>
      <w:r>
        <w:rPr>
          <w:rFonts w:hint="eastAsia" w:ascii="仿宋" w:hAnsi="仿宋" w:eastAsia="仿宋" w:cs="仿宋"/>
          <w:color w:val="auto"/>
          <w:spacing w:val="7"/>
          <w:sz w:val="23"/>
          <w:szCs w:val="23"/>
          <w:highlight w:val="none"/>
        </w:rPr>
        <w:t>为准；总价金额与按单价汇总金额不一致的，以单价金额计</w:t>
      </w:r>
      <w:r>
        <w:rPr>
          <w:rFonts w:hint="eastAsia" w:ascii="仿宋" w:hAnsi="仿宋" w:eastAsia="仿宋" w:cs="仿宋"/>
          <w:color w:val="auto"/>
          <w:spacing w:val="6"/>
          <w:sz w:val="23"/>
          <w:szCs w:val="23"/>
          <w:highlight w:val="none"/>
        </w:rPr>
        <w:t>算结果为准；单价金</w:t>
      </w:r>
      <w:r>
        <w:rPr>
          <w:rFonts w:hint="eastAsia" w:ascii="仿宋" w:hAnsi="仿宋" w:eastAsia="仿宋" w:cs="仿宋"/>
          <w:color w:val="auto"/>
          <w:spacing w:val="-1"/>
          <w:sz w:val="23"/>
          <w:szCs w:val="23"/>
          <w:highlight w:val="none"/>
        </w:rPr>
        <w:t>额小数点有明显错位的，应以总价为准，</w:t>
      </w:r>
      <w:r>
        <w:rPr>
          <w:rFonts w:hint="eastAsia" w:ascii="仿宋" w:hAnsi="仿宋" w:eastAsia="仿宋" w:cs="仿宋"/>
          <w:color w:val="auto"/>
          <w:spacing w:val="-2"/>
          <w:sz w:val="23"/>
          <w:szCs w:val="23"/>
          <w:highlight w:val="none"/>
        </w:rPr>
        <w:t>并修改单价。</w:t>
      </w:r>
    </w:p>
    <w:p w14:paraId="10F0822B">
      <w:pPr>
        <w:spacing w:before="211" w:line="509" w:lineRule="exact"/>
        <w:ind w:firstLine="484" w:firstLineChars="200"/>
        <w:rPr>
          <w:rFonts w:hint="eastAsia" w:ascii="仿宋" w:hAnsi="仿宋" w:eastAsia="仿宋" w:cs="仿宋"/>
          <w:color w:val="auto"/>
          <w:sz w:val="23"/>
          <w:szCs w:val="23"/>
          <w:highlight w:val="none"/>
        </w:rPr>
      </w:pPr>
      <w:r>
        <w:rPr>
          <w:rFonts w:hint="eastAsia" w:ascii="仿宋" w:hAnsi="仿宋" w:eastAsia="仿宋" w:cs="仿宋"/>
          <w:color w:val="auto"/>
          <w:spacing w:val="6"/>
          <w:position w:val="20"/>
          <w:sz w:val="23"/>
          <w:szCs w:val="23"/>
          <w:highlight w:val="none"/>
        </w:rPr>
        <w:t>2.投标总价为招标范围所列全部招标项目的报价总和，并应与投标报价明细</w:t>
      </w:r>
    </w:p>
    <w:p w14:paraId="2FE00D1D">
      <w:pPr>
        <w:spacing w:before="1" w:line="225" w:lineRule="auto"/>
        <w:ind w:left="29"/>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表及分项价格表保持一致。</w:t>
      </w:r>
    </w:p>
    <w:p w14:paraId="7E3B047E">
      <w:pPr>
        <w:spacing w:before="215" w:line="226" w:lineRule="auto"/>
        <w:ind w:left="520"/>
        <w:rPr>
          <w:rFonts w:hint="eastAsia" w:ascii="仿宋" w:hAnsi="仿宋" w:eastAsia="仿宋" w:cs="仿宋"/>
          <w:color w:val="auto"/>
          <w:sz w:val="23"/>
          <w:szCs w:val="23"/>
          <w:highlight w:val="none"/>
        </w:rPr>
      </w:pPr>
      <w:r>
        <w:rPr>
          <w:rFonts w:hint="eastAsia" w:ascii="仿宋" w:hAnsi="仿宋" w:eastAsia="仿宋" w:cs="仿宋"/>
          <w:color w:val="auto"/>
          <w:spacing w:val="5"/>
          <w:sz w:val="23"/>
          <w:szCs w:val="23"/>
          <w:highlight w:val="none"/>
        </w:rPr>
        <w:t>3.投标报价不得填报选择性报价。</w:t>
      </w:r>
    </w:p>
    <w:p w14:paraId="02ECCD92">
      <w:pPr>
        <w:spacing w:before="222" w:line="227" w:lineRule="auto"/>
        <w:ind w:left="510"/>
        <w:rPr>
          <w:rFonts w:hint="eastAsia" w:ascii="仿宋" w:hAnsi="仿宋" w:eastAsia="仿宋" w:cs="仿宋"/>
          <w:color w:val="auto"/>
          <w:sz w:val="23"/>
          <w:szCs w:val="23"/>
          <w:highlight w:val="none"/>
        </w:rPr>
      </w:pPr>
      <w:r>
        <w:rPr>
          <w:rFonts w:hint="eastAsia" w:ascii="仿宋" w:hAnsi="仿宋" w:eastAsia="仿宋" w:cs="仿宋"/>
          <w:color w:val="auto"/>
          <w:spacing w:val="11"/>
          <w:sz w:val="23"/>
          <w:szCs w:val="23"/>
          <w:highlight w:val="none"/>
        </w:rPr>
        <w:t>供应商（盖公章）</w:t>
      </w:r>
      <w:r>
        <w:rPr>
          <w:rFonts w:hint="eastAsia" w:ascii="仿宋" w:hAnsi="仿宋" w:eastAsia="仿宋" w:cs="仿宋"/>
          <w:color w:val="auto"/>
          <w:spacing w:val="-17"/>
          <w:sz w:val="23"/>
          <w:szCs w:val="23"/>
          <w:highlight w:val="none"/>
        </w:rPr>
        <w:t>：</w:t>
      </w:r>
      <w:r>
        <w:rPr>
          <w:rFonts w:hint="eastAsia" w:ascii="仿宋" w:hAnsi="仿宋" w:eastAsia="仿宋" w:cs="仿宋"/>
          <w:color w:val="auto"/>
          <w:spacing w:val="6"/>
          <w:sz w:val="23"/>
          <w:szCs w:val="23"/>
          <w:highlight w:val="none"/>
          <w:u w:val="single" w:color="auto"/>
        </w:rPr>
        <w:t xml:space="preserve">    </w:t>
      </w:r>
      <w:r>
        <w:rPr>
          <w:rFonts w:hint="eastAsia" w:ascii="仿宋" w:hAnsi="仿宋" w:eastAsia="仿宋" w:cs="仿宋"/>
          <w:color w:val="auto"/>
          <w:sz w:val="23"/>
          <w:szCs w:val="23"/>
          <w:highlight w:val="none"/>
          <w:u w:val="single" w:color="auto"/>
        </w:rPr>
        <w:t xml:space="preserve">       </w:t>
      </w:r>
    </w:p>
    <w:p w14:paraId="789BCC62">
      <w:pPr>
        <w:spacing w:before="214" w:line="227" w:lineRule="auto"/>
        <w:ind w:left="514"/>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法定代表人或授权代表（签章</w:t>
      </w:r>
      <w:r>
        <w:rPr>
          <w:rFonts w:hint="eastAsia" w:ascii="仿宋" w:hAnsi="仿宋" w:eastAsia="仿宋" w:cs="仿宋"/>
          <w:color w:val="auto"/>
          <w:spacing w:val="-39"/>
          <w:sz w:val="23"/>
          <w:szCs w:val="23"/>
          <w:highlight w:val="none"/>
        </w:rPr>
        <w:t>）：</w:t>
      </w:r>
      <w:r>
        <w:rPr>
          <w:rFonts w:hint="eastAsia" w:ascii="仿宋" w:hAnsi="仿宋" w:eastAsia="仿宋" w:cs="仿宋"/>
          <w:color w:val="auto"/>
          <w:spacing w:val="-17"/>
          <w:sz w:val="23"/>
          <w:szCs w:val="23"/>
          <w:highlight w:val="none"/>
        </w:rPr>
        <w:t xml:space="preserve"> </w:t>
      </w:r>
      <w:r>
        <w:rPr>
          <w:rFonts w:hint="eastAsia" w:ascii="仿宋" w:hAnsi="仿宋" w:eastAsia="仿宋" w:cs="仿宋"/>
          <w:color w:val="auto"/>
          <w:sz w:val="23"/>
          <w:szCs w:val="23"/>
          <w:highlight w:val="none"/>
          <w:u w:val="single" w:color="auto"/>
        </w:rPr>
        <w:t xml:space="preserve">            </w:t>
      </w:r>
    </w:p>
    <w:p w14:paraId="48537A55">
      <w:pPr>
        <w:spacing w:before="217" w:line="227" w:lineRule="auto"/>
        <w:ind w:left="510"/>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签署日期：</w:t>
      </w:r>
      <w:r>
        <w:rPr>
          <w:rFonts w:hint="eastAsia" w:ascii="仿宋" w:hAnsi="仿宋" w:eastAsia="仿宋" w:cs="仿宋"/>
          <w:color w:val="auto"/>
          <w:spacing w:val="-22"/>
          <w:sz w:val="23"/>
          <w:szCs w:val="23"/>
          <w:highlight w:val="none"/>
        </w:rPr>
        <w:t xml:space="preserve"> </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38"/>
          <w:sz w:val="23"/>
          <w:szCs w:val="23"/>
          <w:highlight w:val="none"/>
        </w:rPr>
        <w:t xml:space="preserve"> </w:t>
      </w:r>
      <w:r>
        <w:rPr>
          <w:rFonts w:hint="eastAsia" w:ascii="仿宋" w:hAnsi="仿宋" w:eastAsia="仿宋" w:cs="仿宋"/>
          <w:color w:val="auto"/>
          <w:spacing w:val="-8"/>
          <w:sz w:val="23"/>
          <w:szCs w:val="23"/>
          <w:highlight w:val="none"/>
        </w:rPr>
        <w:t>年</w:t>
      </w:r>
      <w:r>
        <w:rPr>
          <w:rFonts w:hint="eastAsia" w:ascii="仿宋" w:hAnsi="仿宋" w:eastAsia="仿宋" w:cs="仿宋"/>
          <w:color w:val="auto"/>
          <w:spacing w:val="2"/>
          <w:sz w:val="23"/>
          <w:szCs w:val="23"/>
          <w:highlight w:val="none"/>
          <w:u w:val="single" w:color="auto"/>
        </w:rPr>
        <w:t xml:space="preserve">     </w:t>
      </w:r>
      <w:r>
        <w:rPr>
          <w:rFonts w:hint="eastAsia" w:ascii="仿宋" w:hAnsi="仿宋" w:eastAsia="仿宋" w:cs="仿宋"/>
          <w:color w:val="auto"/>
          <w:spacing w:val="-82"/>
          <w:sz w:val="23"/>
          <w:szCs w:val="23"/>
          <w:highlight w:val="none"/>
        </w:rPr>
        <w:t xml:space="preserve"> </w:t>
      </w:r>
      <w:r>
        <w:rPr>
          <w:rFonts w:hint="eastAsia" w:ascii="仿宋" w:hAnsi="仿宋" w:eastAsia="仿宋" w:cs="仿宋"/>
          <w:color w:val="auto"/>
          <w:spacing w:val="-8"/>
          <w:sz w:val="23"/>
          <w:szCs w:val="23"/>
          <w:highlight w:val="none"/>
        </w:rPr>
        <w:t xml:space="preserve">月 </w:t>
      </w:r>
      <w:r>
        <w:rPr>
          <w:rFonts w:hint="eastAsia" w:ascii="仿宋" w:hAnsi="仿宋" w:eastAsia="仿宋" w:cs="仿宋"/>
          <w:color w:val="auto"/>
          <w:spacing w:val="5"/>
          <w:sz w:val="23"/>
          <w:szCs w:val="23"/>
          <w:highlight w:val="none"/>
          <w:u w:val="single" w:color="auto"/>
        </w:rPr>
        <w:t xml:space="preserve">    </w:t>
      </w:r>
      <w:r>
        <w:rPr>
          <w:rFonts w:hint="eastAsia" w:ascii="仿宋" w:hAnsi="仿宋" w:eastAsia="仿宋" w:cs="仿宋"/>
          <w:color w:val="auto"/>
          <w:spacing w:val="-8"/>
          <w:sz w:val="23"/>
          <w:szCs w:val="23"/>
          <w:highlight w:val="none"/>
        </w:rPr>
        <w:t xml:space="preserve"> 日</w:t>
      </w:r>
    </w:p>
    <w:p w14:paraId="0392011A">
      <w:pPr>
        <w:spacing w:line="227" w:lineRule="auto"/>
        <w:rPr>
          <w:rFonts w:hint="eastAsia" w:ascii="仿宋" w:hAnsi="仿宋" w:eastAsia="仿宋" w:cs="仿宋"/>
          <w:color w:val="auto"/>
          <w:sz w:val="23"/>
          <w:szCs w:val="23"/>
          <w:highlight w:val="none"/>
        </w:rPr>
        <w:sectPr>
          <w:footerReference r:id="rId34" w:type="default"/>
          <w:pgSz w:w="11905" w:h="16838"/>
          <w:pgMar w:top="1020" w:right="1134" w:bottom="1020" w:left="1134" w:header="0" w:footer="573" w:gutter="0"/>
          <w:pgNumType w:fmt="decimal"/>
          <w:cols w:space="0" w:num="1"/>
          <w:rtlGutter w:val="0"/>
          <w:docGrid w:linePitch="0" w:charSpace="0"/>
        </w:sectPr>
      </w:pPr>
    </w:p>
    <w:p w14:paraId="5B02B2EE">
      <w:pPr>
        <w:spacing w:before="75"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1"/>
          <w:sz w:val="23"/>
          <w:szCs w:val="23"/>
          <w:highlight w:val="none"/>
        </w:rPr>
        <w:t>2</w:t>
      </w:r>
      <w:r>
        <w:rPr>
          <w:rFonts w:hint="eastAsia" w:ascii="仿宋" w:hAnsi="仿宋" w:eastAsia="仿宋" w:cs="仿宋"/>
          <w:color w:val="auto"/>
          <w:spacing w:val="31"/>
          <w:sz w:val="23"/>
          <w:szCs w:val="23"/>
          <w:highlight w:val="none"/>
        </w:rPr>
        <w:t xml:space="preserve"> </w:t>
      </w:r>
      <w:r>
        <w:rPr>
          <w:rFonts w:hint="eastAsia" w:ascii="仿宋" w:hAnsi="仿宋" w:eastAsia="仿宋" w:cs="仿宋"/>
          <w:color w:val="auto"/>
          <w:spacing w:val="1"/>
          <w:sz w:val="23"/>
          <w:szCs w:val="23"/>
          <w:highlight w:val="none"/>
        </w:rPr>
        <w:t>征集响应书</w:t>
      </w:r>
    </w:p>
    <w:p w14:paraId="2F658A58">
      <w:pPr>
        <w:spacing w:before="186" w:line="227" w:lineRule="auto"/>
        <w:jc w:val="center"/>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lang w:val="en-US" w:eastAsia="zh-CN"/>
        </w:rPr>
        <w:t xml:space="preserve"> </w:t>
      </w:r>
      <w:r>
        <w:rPr>
          <w:rFonts w:hint="eastAsia" w:ascii="仿宋" w:hAnsi="仿宋" w:eastAsia="仿宋" w:cs="仿宋"/>
          <w:color w:val="auto"/>
          <w:spacing w:val="4"/>
          <w:sz w:val="23"/>
          <w:szCs w:val="23"/>
          <w:highlight w:val="none"/>
        </w:rPr>
        <w:t>（响应文件格式五）</w:t>
      </w:r>
    </w:p>
    <w:p w14:paraId="4D4D1BB2">
      <w:pPr>
        <w:tabs>
          <w:tab w:val="left" w:pos="146"/>
        </w:tabs>
        <w:spacing w:before="150" w:line="222" w:lineRule="auto"/>
        <w:ind w:left="1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34"/>
          <w:sz w:val="24"/>
          <w:szCs w:val="24"/>
          <w:highlight w:val="none"/>
          <w:u w:val="single" w:color="auto"/>
        </w:rPr>
        <w:t>（征集人</w:t>
      </w:r>
      <w:r>
        <w:rPr>
          <w:rFonts w:hint="eastAsia" w:ascii="仿宋" w:hAnsi="仿宋" w:eastAsia="仿宋" w:cs="仿宋"/>
          <w:color w:val="auto"/>
          <w:sz w:val="24"/>
          <w:szCs w:val="24"/>
          <w:highlight w:val="none"/>
          <w:u w:val="single" w:color="auto"/>
        </w:rPr>
        <w:t>）</w:t>
      </w:r>
      <w:r>
        <w:rPr>
          <w:rFonts w:hint="eastAsia" w:ascii="仿宋" w:hAnsi="仿宋" w:eastAsia="仿宋" w:cs="仿宋"/>
          <w:color w:val="auto"/>
          <w:spacing w:val="9"/>
          <w:sz w:val="24"/>
          <w:szCs w:val="24"/>
          <w:highlight w:val="none"/>
          <w:u w:val="single" w:color="auto"/>
        </w:rPr>
        <w:t xml:space="preserve">             </w:t>
      </w:r>
      <w:r>
        <w:rPr>
          <w:rFonts w:hint="eastAsia" w:ascii="仿宋" w:hAnsi="仿宋" w:eastAsia="仿宋" w:cs="仿宋"/>
          <w:color w:val="auto"/>
          <w:sz w:val="24"/>
          <w:szCs w:val="24"/>
          <w:highlight w:val="none"/>
        </w:rPr>
        <w:t>：</w:t>
      </w:r>
    </w:p>
    <w:p w14:paraId="3C08243C">
      <w:pPr>
        <w:spacing w:before="170" w:line="354"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我们收到贵方</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102"/>
          <w:sz w:val="24"/>
          <w:szCs w:val="24"/>
          <w:highlight w:val="none"/>
        </w:rPr>
        <w:t xml:space="preserve"> </w:t>
      </w:r>
      <w:r>
        <w:rPr>
          <w:rFonts w:hint="eastAsia" w:ascii="仿宋" w:hAnsi="仿宋" w:eastAsia="仿宋" w:cs="仿宋"/>
          <w:color w:val="auto"/>
          <w:spacing w:val="-2"/>
          <w:sz w:val="24"/>
          <w:szCs w:val="24"/>
          <w:highlight w:val="none"/>
        </w:rPr>
        <w:t>征集文件（项目编号</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35"/>
          <w:sz w:val="24"/>
          <w:szCs w:val="24"/>
          <w:highlight w:val="none"/>
        </w:rPr>
        <w:t xml:space="preserve"> </w:t>
      </w:r>
      <w:r>
        <w:rPr>
          <w:rFonts w:hint="eastAsia" w:ascii="仿宋" w:hAnsi="仿宋" w:eastAsia="仿宋" w:cs="仿宋"/>
          <w:color w:val="auto"/>
          <w:spacing w:val="-1"/>
          <w:sz w:val="24"/>
          <w:szCs w:val="24"/>
          <w:highlight w:val="none"/>
        </w:rPr>
        <w:t>），</w:t>
      </w:r>
      <w:r>
        <w:rPr>
          <w:rFonts w:hint="eastAsia" w:ascii="仿宋" w:hAnsi="仿宋" w:eastAsia="仿宋" w:cs="仿宋"/>
          <w:color w:val="auto"/>
          <w:spacing w:val="-2"/>
          <w:sz w:val="24"/>
          <w:szCs w:val="24"/>
          <w:highlight w:val="none"/>
        </w:rPr>
        <w:t>经详细研究，我们</w:t>
      </w:r>
    </w:p>
    <w:p w14:paraId="3A3B8EB7">
      <w:pPr>
        <w:spacing w:line="222" w:lineRule="auto"/>
        <w:ind w:left="2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决定参加本项目的投标。正式授权下述签字人</w:t>
      </w:r>
      <w:r>
        <w:rPr>
          <w:rFonts w:hint="eastAsia" w:ascii="仿宋" w:hAnsi="仿宋" w:eastAsia="仿宋" w:cs="仿宋"/>
          <w:color w:val="auto"/>
          <w:spacing w:val="-1"/>
          <w:sz w:val="24"/>
          <w:szCs w:val="24"/>
          <w:highlight w:val="none"/>
          <w:u w:val="single" w:color="auto"/>
        </w:rPr>
        <w:t xml:space="preserve">      （姓名和职务</w:t>
      </w:r>
      <w:r>
        <w:rPr>
          <w:rFonts w:hint="eastAsia" w:ascii="仿宋" w:hAnsi="仿宋" w:eastAsia="仿宋" w:cs="仿宋"/>
          <w:color w:val="auto"/>
          <w:spacing w:val="-6"/>
          <w:sz w:val="24"/>
          <w:szCs w:val="24"/>
          <w:highlight w:val="none"/>
          <w:u w:val="single" w:color="auto"/>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86"/>
          <w:sz w:val="24"/>
          <w:szCs w:val="24"/>
          <w:highlight w:val="none"/>
        </w:rPr>
        <w:t xml:space="preserve"> </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2"/>
          <w:sz w:val="24"/>
          <w:szCs w:val="24"/>
          <w:highlight w:val="none"/>
        </w:rPr>
        <w:t>全权代表</w:t>
      </w:r>
      <w:r>
        <w:rPr>
          <w:rFonts w:hint="eastAsia" w:ascii="仿宋" w:hAnsi="仿宋" w:eastAsia="仿宋" w:cs="仿宋"/>
          <w:color w:val="auto"/>
          <w:sz w:val="24"/>
          <w:szCs w:val="24"/>
          <w:highlight w:val="none"/>
          <w:u w:val="single" w:color="auto"/>
        </w:rPr>
        <w:t xml:space="preserve">       </w:t>
      </w:r>
    </w:p>
    <w:p w14:paraId="59AC872A">
      <w:pPr>
        <w:tabs>
          <w:tab w:val="left" w:pos="146"/>
        </w:tabs>
        <w:spacing w:before="171" w:line="354" w:lineRule="auto"/>
        <w:ind w:left="26" w:right="136" w:hanging="1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4"/>
          <w:sz w:val="24"/>
          <w:szCs w:val="24"/>
          <w:highlight w:val="none"/>
          <w:u w:val="single" w:color="auto"/>
        </w:rPr>
        <w:t>（投标单位名称）</w:t>
      </w:r>
      <w:r>
        <w:rPr>
          <w:rFonts w:hint="eastAsia" w:ascii="仿宋" w:hAnsi="仿宋" w:eastAsia="仿宋" w:cs="仿宋"/>
          <w:color w:val="auto"/>
          <w:spacing w:val="-4"/>
          <w:sz w:val="24"/>
          <w:szCs w:val="24"/>
          <w:highlight w:val="none"/>
        </w:rPr>
        <w:t>提交以下资料：1、加密的电子征集响应文件（jmbs</w:t>
      </w:r>
      <w:r>
        <w:rPr>
          <w:rFonts w:hint="eastAsia" w:ascii="仿宋" w:hAnsi="仿宋" w:eastAsia="仿宋" w:cs="仿宋"/>
          <w:color w:val="auto"/>
          <w:spacing w:val="12"/>
          <w:sz w:val="24"/>
          <w:szCs w:val="24"/>
          <w:highlight w:val="none"/>
        </w:rPr>
        <w:t>），</w:t>
      </w:r>
      <w:r>
        <w:rPr>
          <w:rFonts w:hint="eastAsia" w:ascii="仿宋" w:hAnsi="仿宋" w:eastAsia="仿宋" w:cs="仿宋"/>
          <w:color w:val="auto"/>
          <w:spacing w:val="-4"/>
          <w:sz w:val="24"/>
          <w:szCs w:val="24"/>
          <w:highlight w:val="none"/>
        </w:rPr>
        <w:t>应在文件领取开</w:t>
      </w:r>
      <w:r>
        <w:rPr>
          <w:rFonts w:hint="eastAsia" w:ascii="仿宋" w:hAnsi="仿宋" w:eastAsia="仿宋" w:cs="仿宋"/>
          <w:color w:val="auto"/>
          <w:spacing w:val="-1"/>
          <w:sz w:val="24"/>
          <w:szCs w:val="24"/>
          <w:highlight w:val="none"/>
        </w:rPr>
        <w:t>始时间至征集响应文件递交截止时间前通过 “新疆政采云平台</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1"/>
          <w:sz w:val="24"/>
          <w:szCs w:val="24"/>
          <w:highlight w:val="none"/>
        </w:rPr>
        <w:t>”上传，开</w:t>
      </w:r>
      <w:r>
        <w:rPr>
          <w:rFonts w:hint="eastAsia" w:ascii="仿宋" w:hAnsi="仿宋" w:eastAsia="仿宋" w:cs="仿宋"/>
          <w:color w:val="auto"/>
          <w:spacing w:val="-2"/>
          <w:sz w:val="24"/>
          <w:szCs w:val="24"/>
          <w:highlight w:val="none"/>
        </w:rPr>
        <w:t>标时须使用 CA秘钥进行文件解密工作。</w:t>
      </w:r>
    </w:p>
    <w:p w14:paraId="28744973">
      <w:pPr>
        <w:spacing w:before="175" w:line="458" w:lineRule="exact"/>
        <w:ind w:left="520"/>
        <w:rPr>
          <w:rFonts w:hint="eastAsia" w:ascii="仿宋" w:hAnsi="仿宋" w:eastAsia="仿宋" w:cs="仿宋"/>
          <w:color w:val="auto"/>
          <w:sz w:val="24"/>
          <w:szCs w:val="24"/>
          <w:highlight w:val="none"/>
        </w:rPr>
      </w:pPr>
      <w:r>
        <w:rPr>
          <w:rFonts w:hint="eastAsia" w:ascii="仿宋" w:hAnsi="仿宋" w:eastAsia="仿宋" w:cs="仿宋"/>
          <w:color w:val="auto"/>
          <w:position w:val="16"/>
          <w:sz w:val="24"/>
          <w:szCs w:val="24"/>
          <w:highlight w:val="none"/>
        </w:rPr>
        <w:t>2、未加密的电子征集响应文件（jmbs格式）壹份，Word</w:t>
      </w:r>
      <w:r>
        <w:rPr>
          <w:rFonts w:hint="eastAsia" w:ascii="仿宋" w:hAnsi="仿宋" w:eastAsia="仿宋" w:cs="仿宋"/>
          <w:color w:val="auto"/>
          <w:spacing w:val="-1"/>
          <w:position w:val="16"/>
          <w:sz w:val="24"/>
          <w:szCs w:val="24"/>
          <w:highlight w:val="none"/>
        </w:rPr>
        <w:t>版本壹份，在开标截止时间前</w:t>
      </w:r>
    </w:p>
    <w:p w14:paraId="0DB44C3C">
      <w:pPr>
        <w:spacing w:line="220" w:lineRule="auto"/>
        <w:ind w:left="2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上传至政采云与开标现场解密的电子征集响应</w:t>
      </w:r>
      <w:r>
        <w:rPr>
          <w:rFonts w:hint="eastAsia" w:ascii="仿宋" w:hAnsi="仿宋" w:eastAsia="仿宋" w:cs="仿宋"/>
          <w:color w:val="auto"/>
          <w:spacing w:val="-1"/>
          <w:sz w:val="24"/>
          <w:szCs w:val="24"/>
          <w:highlight w:val="none"/>
        </w:rPr>
        <w:t>文件一致。并同时宣布愿意遵守下列条款：</w:t>
      </w:r>
    </w:p>
    <w:p w14:paraId="056BACF0">
      <w:pPr>
        <w:spacing w:before="1" w:line="220" w:lineRule="auto"/>
        <w:ind w:left="33"/>
        <w:rPr>
          <w:rFonts w:hint="eastAsia" w:ascii="仿宋" w:hAnsi="仿宋" w:eastAsia="仿宋" w:cs="仿宋"/>
          <w:color w:val="auto"/>
          <w:spacing w:val="-1"/>
          <w:position w:val="16"/>
          <w:sz w:val="24"/>
          <w:szCs w:val="24"/>
          <w:highlight w:val="none"/>
        </w:rPr>
      </w:pPr>
      <w:r>
        <w:rPr>
          <w:rFonts w:hint="eastAsia" w:ascii="仿宋" w:hAnsi="仿宋" w:eastAsia="仿宋" w:cs="仿宋"/>
          <w:color w:val="auto"/>
          <w:spacing w:val="-1"/>
          <w:position w:val="16"/>
          <w:sz w:val="24"/>
          <w:szCs w:val="24"/>
          <w:highlight w:val="none"/>
        </w:rPr>
        <w:t>1）我方已详细阅读全部征集文件及有关附件，同意按照征集文件中规定的</w:t>
      </w:r>
      <w:r>
        <w:rPr>
          <w:rFonts w:hint="eastAsia" w:ascii="仿宋" w:hAnsi="仿宋" w:eastAsia="仿宋" w:cs="仿宋"/>
          <w:color w:val="auto"/>
          <w:spacing w:val="-1"/>
          <w:position w:val="16"/>
          <w:sz w:val="24"/>
          <w:szCs w:val="24"/>
          <w:highlight w:val="none"/>
          <w:lang w:val="en-US" w:eastAsia="zh-CN"/>
        </w:rPr>
        <w:t>服务内容</w:t>
      </w:r>
      <w:r>
        <w:rPr>
          <w:rFonts w:hint="eastAsia" w:ascii="仿宋" w:hAnsi="仿宋" w:eastAsia="仿宋" w:cs="仿宋"/>
          <w:color w:val="auto"/>
          <w:spacing w:val="-1"/>
          <w:position w:val="16"/>
          <w:sz w:val="24"/>
          <w:szCs w:val="24"/>
          <w:highlight w:val="none"/>
        </w:rPr>
        <w:t>，承接征集文件规定的内容提供服务，合同履行期限为</w:t>
      </w:r>
      <w:r>
        <w:rPr>
          <w:rFonts w:hint="eastAsia" w:ascii="仿宋" w:hAnsi="仿宋" w:eastAsia="仿宋" w:cs="仿宋"/>
          <w:color w:val="auto"/>
          <w:spacing w:val="-1"/>
          <w:position w:val="16"/>
          <w:sz w:val="24"/>
          <w:szCs w:val="24"/>
          <w:highlight w:val="none"/>
          <w:u w:val="single"/>
        </w:rPr>
        <w:t xml:space="preserve">：         </w:t>
      </w:r>
      <w:r>
        <w:rPr>
          <w:rFonts w:hint="eastAsia" w:ascii="仿宋" w:hAnsi="仿宋" w:eastAsia="仿宋" w:cs="仿宋"/>
          <w:color w:val="auto"/>
          <w:spacing w:val="-1"/>
          <w:position w:val="16"/>
          <w:sz w:val="24"/>
          <w:szCs w:val="24"/>
          <w:highlight w:val="none"/>
        </w:rPr>
        <w:t>，服务质量：</w:t>
      </w:r>
      <w:r>
        <w:rPr>
          <w:rFonts w:hint="eastAsia" w:ascii="仿宋" w:hAnsi="仿宋" w:eastAsia="仿宋" w:cs="仿宋"/>
          <w:color w:val="auto"/>
          <w:spacing w:val="-1"/>
          <w:position w:val="16"/>
          <w:sz w:val="24"/>
          <w:szCs w:val="24"/>
          <w:highlight w:val="none"/>
          <w:u w:val="single"/>
        </w:rPr>
        <w:t xml:space="preserve">       </w:t>
      </w:r>
      <w:r>
        <w:rPr>
          <w:rFonts w:hint="eastAsia" w:ascii="仿宋" w:hAnsi="仿宋" w:eastAsia="仿宋" w:cs="仿宋"/>
          <w:color w:val="auto"/>
          <w:spacing w:val="-1"/>
          <w:position w:val="16"/>
          <w:sz w:val="24"/>
          <w:szCs w:val="24"/>
          <w:highlight w:val="none"/>
        </w:rPr>
        <w:t>。</w:t>
      </w:r>
    </w:p>
    <w:p w14:paraId="69242623">
      <w:pPr>
        <w:spacing w:before="166" w:line="461" w:lineRule="exact"/>
        <w:ind w:left="23"/>
        <w:rPr>
          <w:rFonts w:hint="eastAsia" w:ascii="仿宋" w:hAnsi="仿宋" w:eastAsia="仿宋" w:cs="仿宋"/>
          <w:color w:val="auto"/>
          <w:sz w:val="24"/>
          <w:szCs w:val="24"/>
          <w:highlight w:val="none"/>
        </w:rPr>
      </w:pPr>
      <w:r>
        <w:rPr>
          <w:rFonts w:hint="eastAsia" w:ascii="仿宋" w:hAnsi="仿宋" w:eastAsia="仿宋" w:cs="仿宋"/>
          <w:color w:val="auto"/>
          <w:position w:val="16"/>
          <w:sz w:val="24"/>
          <w:szCs w:val="24"/>
          <w:highlight w:val="none"/>
        </w:rPr>
        <w:t>2）愿意按照《中华人民共和国民法典》和《中华人民共和国</w:t>
      </w:r>
      <w:r>
        <w:rPr>
          <w:rFonts w:hint="eastAsia" w:ascii="仿宋" w:hAnsi="仿宋" w:eastAsia="仿宋" w:cs="仿宋"/>
          <w:color w:val="auto"/>
          <w:spacing w:val="-1"/>
          <w:position w:val="16"/>
          <w:sz w:val="24"/>
          <w:szCs w:val="24"/>
          <w:highlight w:val="none"/>
        </w:rPr>
        <w:t>政府采购法》及相关法律法规</w:t>
      </w:r>
    </w:p>
    <w:p w14:paraId="2BECAFEE">
      <w:pPr>
        <w:spacing w:before="1" w:line="220" w:lineRule="auto"/>
        <w:ind w:left="3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履行自己的责任和义务。</w:t>
      </w:r>
    </w:p>
    <w:p w14:paraId="23CFD43C">
      <w:pPr>
        <w:spacing w:before="171" w:line="461" w:lineRule="exact"/>
        <w:ind w:left="25"/>
        <w:rPr>
          <w:rFonts w:hint="eastAsia" w:ascii="仿宋" w:hAnsi="仿宋" w:eastAsia="仿宋" w:cs="仿宋"/>
          <w:color w:val="auto"/>
          <w:sz w:val="24"/>
          <w:szCs w:val="24"/>
          <w:highlight w:val="none"/>
        </w:rPr>
      </w:pPr>
      <w:r>
        <w:rPr>
          <w:rFonts w:hint="eastAsia" w:ascii="仿宋" w:hAnsi="仿宋" w:eastAsia="仿宋" w:cs="仿宋"/>
          <w:color w:val="auto"/>
          <w:position w:val="16"/>
          <w:sz w:val="24"/>
          <w:szCs w:val="24"/>
          <w:highlight w:val="none"/>
        </w:rPr>
        <w:t>3）如果我们投标书被接受，我们将履行征集文件中规定</w:t>
      </w:r>
      <w:r>
        <w:rPr>
          <w:rFonts w:hint="eastAsia" w:ascii="仿宋" w:hAnsi="仿宋" w:eastAsia="仿宋" w:cs="仿宋"/>
          <w:color w:val="auto"/>
          <w:spacing w:val="-1"/>
          <w:position w:val="16"/>
          <w:sz w:val="24"/>
          <w:szCs w:val="24"/>
          <w:highlight w:val="none"/>
        </w:rPr>
        <w:t>的每一项要求，按期、按质、按量</w:t>
      </w:r>
    </w:p>
    <w:p w14:paraId="4FAC0BAD">
      <w:pPr>
        <w:spacing w:line="223" w:lineRule="auto"/>
        <w:ind w:left="32"/>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完成任务。</w:t>
      </w:r>
    </w:p>
    <w:p w14:paraId="171F7F00">
      <w:pPr>
        <w:spacing w:before="171" w:line="219" w:lineRule="auto"/>
        <w:ind w:left="1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4）我们愿意提供征集人在征集文件中要求的所有资料。</w:t>
      </w:r>
    </w:p>
    <w:p w14:paraId="362DE6B5">
      <w:pPr>
        <w:spacing w:before="173" w:line="222" w:lineRule="auto"/>
        <w:ind w:left="2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5）我们同意按征集文件规定，遵守有关招投标的各项规定。</w:t>
      </w:r>
    </w:p>
    <w:p w14:paraId="2E9370E3">
      <w:pPr>
        <w:spacing w:before="173" w:line="460" w:lineRule="exact"/>
        <w:ind w:left="22"/>
        <w:rPr>
          <w:rFonts w:hint="eastAsia" w:ascii="仿宋" w:hAnsi="仿宋" w:eastAsia="仿宋" w:cs="仿宋"/>
          <w:color w:val="auto"/>
          <w:sz w:val="24"/>
          <w:szCs w:val="24"/>
          <w:highlight w:val="none"/>
        </w:rPr>
      </w:pPr>
      <w:r>
        <w:rPr>
          <w:rFonts w:hint="eastAsia" w:ascii="仿宋" w:hAnsi="仿宋" w:eastAsia="仿宋" w:cs="仿宋"/>
          <w:color w:val="auto"/>
          <w:position w:val="16"/>
          <w:sz w:val="24"/>
          <w:szCs w:val="24"/>
          <w:highlight w:val="none"/>
        </w:rPr>
        <w:t>6）如果我方中标，同意按征集文件规定向</w:t>
      </w:r>
      <w:r>
        <w:rPr>
          <w:rFonts w:hint="eastAsia" w:ascii="仿宋" w:hAnsi="仿宋" w:eastAsia="仿宋" w:cs="仿宋"/>
          <w:color w:val="auto"/>
          <w:spacing w:val="-1"/>
          <w:position w:val="16"/>
          <w:sz w:val="24"/>
          <w:szCs w:val="24"/>
          <w:highlight w:val="none"/>
        </w:rPr>
        <w:t>代理机构缴纳代理服务费。</w:t>
      </w:r>
    </w:p>
    <w:p w14:paraId="453B342C">
      <w:pPr>
        <w:spacing w:before="1" w:line="222" w:lineRule="auto"/>
        <w:ind w:left="2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7）我方的投标有效期为</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94"/>
          <w:sz w:val="24"/>
          <w:szCs w:val="24"/>
          <w:highlight w:val="none"/>
        </w:rPr>
        <w:t xml:space="preserve"> </w:t>
      </w:r>
      <w:r>
        <w:rPr>
          <w:rFonts w:hint="eastAsia" w:ascii="仿宋" w:hAnsi="仿宋" w:eastAsia="仿宋" w:cs="仿宋"/>
          <w:color w:val="auto"/>
          <w:spacing w:val="-2"/>
          <w:sz w:val="24"/>
          <w:szCs w:val="24"/>
          <w:highlight w:val="none"/>
        </w:rPr>
        <w:t>天。</w:t>
      </w:r>
    </w:p>
    <w:p w14:paraId="0AB1CD8F">
      <w:pPr>
        <w:pStyle w:val="4"/>
        <w:spacing w:line="333" w:lineRule="auto"/>
        <w:rPr>
          <w:rFonts w:hint="eastAsia" w:ascii="仿宋" w:hAnsi="仿宋" w:eastAsia="仿宋" w:cs="仿宋"/>
          <w:color w:val="auto"/>
          <w:sz w:val="24"/>
          <w:szCs w:val="24"/>
          <w:highlight w:val="none"/>
        </w:rPr>
      </w:pPr>
    </w:p>
    <w:p w14:paraId="2B754183">
      <w:pPr>
        <w:spacing w:before="79" w:line="221" w:lineRule="auto"/>
        <w:ind w:left="38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lang w:val="en-US" w:eastAsia="zh-CN"/>
        </w:rPr>
        <w:t>供应商</w:t>
      </w:r>
      <w:r>
        <w:rPr>
          <w:rFonts w:hint="eastAsia" w:ascii="仿宋" w:hAnsi="仿宋" w:eastAsia="仿宋" w:cs="仿宋"/>
          <w:color w:val="auto"/>
          <w:spacing w:val="-14"/>
          <w:sz w:val="24"/>
          <w:szCs w:val="24"/>
          <w:highlight w:val="none"/>
        </w:rPr>
        <w:t>：（</w:t>
      </w:r>
      <w:r>
        <w:rPr>
          <w:rFonts w:hint="eastAsia" w:ascii="仿宋" w:hAnsi="仿宋" w:eastAsia="仿宋" w:cs="仿宋"/>
          <w:color w:val="auto"/>
          <w:spacing w:val="11"/>
          <w:sz w:val="23"/>
          <w:szCs w:val="23"/>
          <w:highlight w:val="none"/>
        </w:rPr>
        <w:t>盖公章</w:t>
      </w:r>
      <w:r>
        <w:rPr>
          <w:rFonts w:hint="eastAsia" w:ascii="仿宋" w:hAnsi="仿宋" w:eastAsia="仿宋" w:cs="仿宋"/>
          <w:color w:val="auto"/>
          <w:spacing w:val="1"/>
          <w:sz w:val="24"/>
          <w:szCs w:val="24"/>
          <w:highlight w:val="none"/>
        </w:rPr>
        <w:t>）           法定代表人或授权委托人</w:t>
      </w:r>
      <w:r>
        <w:rPr>
          <w:rFonts w:hint="eastAsia" w:ascii="仿宋" w:hAnsi="仿宋" w:eastAsia="仿宋" w:cs="仿宋"/>
          <w:color w:val="auto"/>
          <w:spacing w:val="-14"/>
          <w:sz w:val="24"/>
          <w:szCs w:val="24"/>
          <w:highlight w:val="none"/>
        </w:rPr>
        <w:t>：（</w:t>
      </w:r>
      <w:r>
        <w:rPr>
          <w:rFonts w:hint="eastAsia" w:ascii="仿宋" w:hAnsi="仿宋" w:eastAsia="仿宋" w:cs="仿宋"/>
          <w:color w:val="auto"/>
          <w:spacing w:val="1"/>
          <w:sz w:val="24"/>
          <w:szCs w:val="24"/>
          <w:highlight w:val="none"/>
        </w:rPr>
        <w:t>签字或</w:t>
      </w:r>
      <w:r>
        <w:rPr>
          <w:rFonts w:hint="eastAsia" w:ascii="仿宋" w:hAnsi="仿宋" w:eastAsia="仿宋" w:cs="仿宋"/>
          <w:color w:val="auto"/>
          <w:spacing w:val="4"/>
          <w:sz w:val="23"/>
          <w:szCs w:val="23"/>
          <w:highlight w:val="none"/>
        </w:rPr>
        <w:t>签</w:t>
      </w:r>
      <w:r>
        <w:rPr>
          <w:rFonts w:hint="eastAsia" w:ascii="仿宋" w:hAnsi="仿宋" w:eastAsia="仿宋" w:cs="仿宋"/>
          <w:color w:val="auto"/>
          <w:spacing w:val="1"/>
          <w:sz w:val="24"/>
          <w:szCs w:val="24"/>
          <w:highlight w:val="none"/>
        </w:rPr>
        <w:t>章）</w:t>
      </w:r>
    </w:p>
    <w:p w14:paraId="0D0299D3">
      <w:pPr>
        <w:pStyle w:val="4"/>
        <w:spacing w:line="312" w:lineRule="auto"/>
        <w:rPr>
          <w:rFonts w:hint="eastAsia" w:ascii="仿宋" w:hAnsi="仿宋" w:eastAsia="仿宋" w:cs="仿宋"/>
          <w:color w:val="auto"/>
          <w:sz w:val="24"/>
          <w:szCs w:val="24"/>
          <w:highlight w:val="none"/>
        </w:rPr>
      </w:pPr>
    </w:p>
    <w:p w14:paraId="36272792">
      <w:pPr>
        <w:spacing w:before="78" w:line="222" w:lineRule="auto"/>
        <w:ind w:left="7323"/>
        <w:rPr>
          <w:rFonts w:hint="eastAsia" w:ascii="仿宋" w:hAnsi="仿宋" w:eastAsia="仿宋" w:cs="仿宋"/>
          <w:color w:val="auto"/>
          <w:sz w:val="24"/>
          <w:szCs w:val="24"/>
          <w:highlight w:val="none"/>
        </w:rPr>
      </w:pPr>
      <w:r>
        <w:rPr>
          <w:rFonts w:hint="eastAsia" w:ascii="仿宋" w:hAnsi="仿宋" w:eastAsia="仿宋" w:cs="仿宋"/>
          <w:color w:val="auto"/>
          <w:spacing w:val="-16"/>
          <w:sz w:val="24"/>
          <w:szCs w:val="24"/>
          <w:highlight w:val="none"/>
        </w:rPr>
        <w:t>年</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16"/>
          <w:sz w:val="24"/>
          <w:szCs w:val="24"/>
          <w:highlight w:val="none"/>
        </w:rPr>
        <w:t>月</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16"/>
          <w:sz w:val="24"/>
          <w:szCs w:val="24"/>
          <w:highlight w:val="none"/>
        </w:rPr>
        <w:t>日</w:t>
      </w:r>
    </w:p>
    <w:p w14:paraId="2602145E">
      <w:pPr>
        <w:spacing w:before="173" w:line="242" w:lineRule="auto"/>
        <w:ind w:left="35" w:right="16" w:hanging="1"/>
        <w:rPr>
          <w:rFonts w:hint="eastAsia" w:ascii="仿宋" w:hAnsi="仿宋" w:eastAsia="仿宋" w:cs="仿宋"/>
          <w:color w:val="auto"/>
          <w:sz w:val="24"/>
          <w:szCs w:val="24"/>
          <w:highlight w:val="none"/>
        </w:rPr>
        <w:sectPr>
          <w:footerReference r:id="rId35" w:type="default"/>
          <w:pgSz w:w="11910" w:h="16840"/>
          <w:pgMar w:top="1431" w:right="1192" w:bottom="1120" w:left="1095" w:header="0" w:footer="951" w:gutter="0"/>
          <w:pgNumType w:fmt="decimal"/>
          <w:cols w:equalWidth="0" w:num="1">
            <w:col w:w="9622"/>
          </w:cols>
        </w:sectPr>
      </w:pPr>
      <w:r>
        <w:rPr>
          <w:rFonts w:hint="eastAsia" w:ascii="仿宋" w:hAnsi="仿宋" w:eastAsia="仿宋" w:cs="仿宋"/>
          <w:color w:val="auto"/>
          <w:spacing w:val="-1"/>
          <w:sz w:val="24"/>
          <w:szCs w:val="24"/>
          <w:highlight w:val="none"/>
        </w:rPr>
        <w:t>注：除可填报内容外，对本投标函的任何修改将被视为非实质性响应投标，在评标时将其视</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5"/>
          <w:sz w:val="24"/>
          <w:szCs w:val="24"/>
          <w:highlight w:val="none"/>
        </w:rPr>
        <w:t>为投标无效。</w:t>
      </w:r>
    </w:p>
    <w:p w14:paraId="3F2C60A0">
      <w:pPr>
        <w:spacing w:before="75" w:line="227" w:lineRule="auto"/>
        <w:ind w:left="4125"/>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（响应文件格式六）</w:t>
      </w:r>
    </w:p>
    <w:p w14:paraId="128D9BC3">
      <w:pPr>
        <w:pStyle w:val="4"/>
        <w:spacing w:before="152" w:line="172" w:lineRule="auto"/>
        <w:ind w:left="4261"/>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3</w:t>
      </w:r>
      <w:r>
        <w:rPr>
          <w:rFonts w:hint="eastAsia" w:ascii="仿宋" w:hAnsi="仿宋" w:eastAsia="仿宋" w:cs="仿宋"/>
          <w:color w:val="auto"/>
          <w:spacing w:val="57"/>
          <w:sz w:val="24"/>
          <w:szCs w:val="24"/>
          <w:highlight w:val="none"/>
        </w:rPr>
        <w:t xml:space="preserve"> </w:t>
      </w:r>
      <w:r>
        <w:rPr>
          <w:rFonts w:hint="eastAsia" w:ascii="仿宋" w:hAnsi="仿宋" w:eastAsia="仿宋" w:cs="仿宋"/>
          <w:color w:val="auto"/>
          <w:spacing w:val="8"/>
          <w:sz w:val="24"/>
          <w:szCs w:val="24"/>
          <w:highlight w:val="none"/>
        </w:rPr>
        <w:t>分项报价表</w:t>
      </w:r>
    </w:p>
    <w:p w14:paraId="458F13AB">
      <w:pPr>
        <w:rPr>
          <w:rFonts w:hint="eastAsia" w:ascii="仿宋" w:hAnsi="仿宋" w:eastAsia="仿宋" w:cs="仿宋"/>
          <w:color w:val="auto"/>
          <w:spacing w:val="8"/>
          <w:sz w:val="24"/>
          <w:szCs w:val="24"/>
          <w:highlight w:val="none"/>
        </w:rPr>
      </w:pPr>
    </w:p>
    <w:p w14:paraId="1967B479">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项目名称 : </w:t>
      </w:r>
    </w:p>
    <w:p w14:paraId="755FF6E0">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                      </w:t>
      </w:r>
    </w:p>
    <w:p w14:paraId="062E0531">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项目编号: </w:t>
      </w:r>
    </w:p>
    <w:p w14:paraId="677D8AAF">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            </w:t>
      </w:r>
    </w:p>
    <w:p w14:paraId="1BA18E62">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包号:</w:t>
      </w:r>
    </w:p>
    <w:p w14:paraId="020AD762">
      <w:pPr>
        <w:spacing w:before="182" w:line="226" w:lineRule="auto"/>
        <w:jc w:val="center"/>
        <w:rPr>
          <w:rFonts w:hint="eastAsia" w:ascii="仿宋" w:hAnsi="仿宋" w:eastAsia="仿宋" w:cs="仿宋"/>
          <w:color w:val="auto"/>
          <w:sz w:val="23"/>
          <w:szCs w:val="23"/>
          <w:highlight w:val="none"/>
        </w:rPr>
      </w:pPr>
      <w:r>
        <w:rPr>
          <w:rFonts w:hint="eastAsia" w:ascii="仿宋" w:hAnsi="仿宋" w:eastAsia="仿宋" w:cs="仿宋"/>
          <w:color w:val="auto"/>
          <w:spacing w:val="-11"/>
          <w:sz w:val="23"/>
          <w:szCs w:val="23"/>
          <w:highlight w:val="none"/>
          <w:lang w:val="en-US" w:eastAsia="zh-CN"/>
        </w:rPr>
        <w:t xml:space="preserve">                                                          </w:t>
      </w:r>
      <w:r>
        <w:rPr>
          <w:rFonts w:hint="eastAsia" w:ascii="仿宋" w:hAnsi="仿宋" w:eastAsia="仿宋" w:cs="仿宋"/>
          <w:color w:val="auto"/>
          <w:spacing w:val="-11"/>
          <w:sz w:val="23"/>
          <w:szCs w:val="23"/>
          <w:highlight w:val="none"/>
        </w:rPr>
        <w:t>报价单位</w:t>
      </w:r>
      <w:r>
        <w:rPr>
          <w:rFonts w:hint="eastAsia" w:ascii="仿宋" w:hAnsi="仿宋" w:eastAsia="仿宋" w:cs="仿宋"/>
          <w:color w:val="auto"/>
          <w:spacing w:val="-10"/>
          <w:sz w:val="23"/>
          <w:szCs w:val="23"/>
          <w:highlight w:val="none"/>
        </w:rPr>
        <w:t>：</w:t>
      </w:r>
      <w:r>
        <w:rPr>
          <w:rFonts w:hint="eastAsia" w:ascii="仿宋" w:hAnsi="仿宋" w:eastAsia="仿宋" w:cs="仿宋"/>
          <w:color w:val="auto"/>
          <w:spacing w:val="-19"/>
          <w:sz w:val="23"/>
          <w:szCs w:val="23"/>
          <w:highlight w:val="none"/>
        </w:rPr>
        <w:t xml:space="preserve"> </w:t>
      </w:r>
      <w:r>
        <w:rPr>
          <w:rFonts w:hint="eastAsia" w:ascii="仿宋" w:hAnsi="仿宋" w:eastAsia="仿宋" w:cs="仿宋"/>
          <w:color w:val="auto"/>
          <w:spacing w:val="-6"/>
          <w:sz w:val="23"/>
          <w:szCs w:val="23"/>
          <w:highlight w:val="none"/>
        </w:rPr>
        <w:t>%</w:t>
      </w:r>
    </w:p>
    <w:p w14:paraId="0D8A2AD1">
      <w:pPr>
        <w:spacing w:line="135" w:lineRule="exact"/>
        <w:rPr>
          <w:rFonts w:hint="eastAsia" w:ascii="仿宋" w:hAnsi="仿宋" w:eastAsia="仿宋" w:cs="仿宋"/>
          <w:color w:val="auto"/>
          <w:highlight w:val="none"/>
        </w:rPr>
      </w:pPr>
    </w:p>
    <w:tbl>
      <w:tblPr>
        <w:tblStyle w:val="20"/>
        <w:tblW w:w="8853" w:type="dxa"/>
        <w:tblInd w:w="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5"/>
        <w:gridCol w:w="3837"/>
        <w:gridCol w:w="2091"/>
        <w:gridCol w:w="1620"/>
      </w:tblGrid>
      <w:tr w14:paraId="182AA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305" w:type="dxa"/>
            <w:vAlign w:val="top"/>
          </w:tcPr>
          <w:p w14:paraId="5D7A6348">
            <w:pPr>
              <w:pStyle w:val="21"/>
              <w:spacing w:before="53" w:line="229" w:lineRule="auto"/>
              <w:ind w:left="456"/>
              <w:rPr>
                <w:rFonts w:hint="eastAsia" w:ascii="仿宋" w:hAnsi="仿宋" w:eastAsia="仿宋" w:cs="仿宋"/>
                <w:color w:val="auto"/>
                <w:highlight w:val="none"/>
              </w:rPr>
            </w:pPr>
            <w:r>
              <w:rPr>
                <w:rFonts w:hint="eastAsia" w:ascii="仿宋" w:hAnsi="仿宋" w:eastAsia="仿宋" w:cs="仿宋"/>
                <w:color w:val="auto"/>
                <w:spacing w:val="3"/>
                <w:highlight w:val="none"/>
              </w:rPr>
              <w:t>序号</w:t>
            </w:r>
          </w:p>
        </w:tc>
        <w:tc>
          <w:tcPr>
            <w:tcW w:w="3837" w:type="dxa"/>
            <w:vAlign w:val="top"/>
          </w:tcPr>
          <w:p w14:paraId="0F238A9A">
            <w:pPr>
              <w:pStyle w:val="21"/>
              <w:spacing w:before="53" w:line="228" w:lineRule="auto"/>
              <w:ind w:left="1371"/>
              <w:rPr>
                <w:rFonts w:hint="eastAsia" w:ascii="仿宋" w:hAnsi="仿宋" w:eastAsia="仿宋" w:cs="仿宋"/>
                <w:color w:val="auto"/>
                <w:highlight w:val="none"/>
              </w:rPr>
            </w:pPr>
            <w:r>
              <w:rPr>
                <w:rFonts w:hint="eastAsia" w:ascii="仿宋" w:hAnsi="仿宋" w:eastAsia="仿宋" w:cs="仿宋"/>
                <w:color w:val="auto"/>
                <w:spacing w:val="5"/>
                <w:highlight w:val="none"/>
              </w:rPr>
              <w:t>标</w:t>
            </w:r>
            <w:r>
              <w:rPr>
                <w:rFonts w:hint="eastAsia" w:ascii="仿宋" w:hAnsi="仿宋" w:eastAsia="仿宋" w:cs="仿宋"/>
                <w:color w:val="auto"/>
                <w:spacing w:val="5"/>
                <w:highlight w:val="none"/>
                <w:lang w:val="en-US" w:eastAsia="zh-CN"/>
              </w:rPr>
              <w:t>的</w:t>
            </w:r>
            <w:r>
              <w:rPr>
                <w:rFonts w:hint="eastAsia" w:ascii="仿宋" w:hAnsi="仿宋" w:eastAsia="仿宋" w:cs="仿宋"/>
                <w:color w:val="auto"/>
                <w:spacing w:val="5"/>
                <w:highlight w:val="none"/>
              </w:rPr>
              <w:t>名称</w:t>
            </w:r>
          </w:p>
        </w:tc>
        <w:tc>
          <w:tcPr>
            <w:tcW w:w="2091" w:type="dxa"/>
            <w:vAlign w:val="top"/>
          </w:tcPr>
          <w:p w14:paraId="75BE4D49">
            <w:pPr>
              <w:pStyle w:val="21"/>
              <w:spacing w:before="51" w:line="226" w:lineRule="auto"/>
              <w:jc w:val="center"/>
              <w:rPr>
                <w:rFonts w:hint="eastAsia" w:ascii="仿宋" w:hAnsi="仿宋" w:eastAsia="仿宋" w:cs="仿宋"/>
                <w:color w:val="auto"/>
                <w:spacing w:val="3"/>
                <w:highlight w:val="none"/>
              </w:rPr>
            </w:pPr>
            <w:r>
              <w:rPr>
                <w:rFonts w:hint="eastAsia" w:ascii="仿宋" w:hAnsi="仿宋" w:eastAsia="仿宋" w:cs="仿宋"/>
                <w:color w:val="auto"/>
                <w:spacing w:val="3"/>
                <w:highlight w:val="none"/>
                <w:lang w:val="en-US" w:eastAsia="zh-CN"/>
              </w:rPr>
              <w:t>投标</w:t>
            </w:r>
            <w:r>
              <w:rPr>
                <w:rFonts w:hint="eastAsia" w:ascii="仿宋" w:hAnsi="仿宋" w:eastAsia="仿宋" w:cs="仿宋"/>
                <w:color w:val="auto"/>
                <w:spacing w:val="3"/>
                <w:highlight w:val="none"/>
              </w:rPr>
              <w:t>报价</w:t>
            </w:r>
          </w:p>
          <w:p w14:paraId="3B3E0C40">
            <w:pPr>
              <w:pStyle w:val="21"/>
              <w:spacing w:before="51" w:line="226" w:lineRule="auto"/>
              <w:jc w:val="center"/>
              <w:rPr>
                <w:rFonts w:hint="eastAsia" w:ascii="仿宋" w:hAnsi="仿宋" w:eastAsia="仿宋" w:cs="仿宋"/>
                <w:color w:val="auto"/>
                <w:highlight w:val="none"/>
                <w:lang w:eastAsia="zh-CN"/>
              </w:rPr>
            </w:pPr>
          </w:p>
        </w:tc>
        <w:tc>
          <w:tcPr>
            <w:tcW w:w="1620" w:type="dxa"/>
            <w:vAlign w:val="top"/>
          </w:tcPr>
          <w:p w14:paraId="229FCBD2">
            <w:pPr>
              <w:pStyle w:val="21"/>
              <w:spacing w:before="53" w:line="229" w:lineRule="auto"/>
              <w:ind w:left="591"/>
              <w:rPr>
                <w:rFonts w:hint="eastAsia" w:ascii="仿宋" w:hAnsi="仿宋" w:eastAsia="仿宋" w:cs="仿宋"/>
                <w:color w:val="auto"/>
                <w:highlight w:val="none"/>
              </w:rPr>
            </w:pPr>
            <w:r>
              <w:rPr>
                <w:rFonts w:hint="eastAsia" w:ascii="仿宋" w:hAnsi="仿宋" w:eastAsia="仿宋" w:cs="仿宋"/>
                <w:color w:val="auto"/>
                <w:highlight w:val="none"/>
              </w:rPr>
              <w:t>备注</w:t>
            </w:r>
          </w:p>
        </w:tc>
      </w:tr>
      <w:tr w14:paraId="1C777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05" w:type="dxa"/>
            <w:vAlign w:val="center"/>
          </w:tcPr>
          <w:p w14:paraId="2609D451">
            <w:pPr>
              <w:pStyle w:val="21"/>
              <w:spacing w:before="84" w:line="189"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3837" w:type="dxa"/>
            <w:vAlign w:val="top"/>
          </w:tcPr>
          <w:p w14:paraId="1C9889DE">
            <w:pPr>
              <w:rPr>
                <w:rFonts w:hint="eastAsia" w:ascii="仿宋" w:hAnsi="仿宋" w:eastAsia="仿宋" w:cs="仿宋"/>
                <w:color w:val="auto"/>
                <w:sz w:val="21"/>
                <w:highlight w:val="none"/>
              </w:rPr>
            </w:pPr>
          </w:p>
        </w:tc>
        <w:tc>
          <w:tcPr>
            <w:tcW w:w="2091" w:type="dxa"/>
            <w:vAlign w:val="top"/>
          </w:tcPr>
          <w:p w14:paraId="35160C87">
            <w:pPr>
              <w:rPr>
                <w:rFonts w:hint="eastAsia" w:ascii="仿宋" w:hAnsi="仿宋" w:eastAsia="仿宋" w:cs="仿宋"/>
                <w:color w:val="auto"/>
                <w:sz w:val="21"/>
                <w:highlight w:val="none"/>
              </w:rPr>
            </w:pPr>
          </w:p>
        </w:tc>
        <w:tc>
          <w:tcPr>
            <w:tcW w:w="1620" w:type="dxa"/>
            <w:vAlign w:val="top"/>
          </w:tcPr>
          <w:p w14:paraId="4CF86223">
            <w:pPr>
              <w:rPr>
                <w:rFonts w:hint="eastAsia" w:ascii="仿宋" w:hAnsi="仿宋" w:eastAsia="仿宋" w:cs="仿宋"/>
                <w:color w:val="auto"/>
                <w:sz w:val="21"/>
                <w:highlight w:val="none"/>
              </w:rPr>
            </w:pPr>
          </w:p>
        </w:tc>
      </w:tr>
      <w:tr w14:paraId="5937E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05" w:type="dxa"/>
            <w:vAlign w:val="center"/>
          </w:tcPr>
          <w:p w14:paraId="0AADE8D0">
            <w:pPr>
              <w:pStyle w:val="21"/>
              <w:spacing w:before="90" w:line="188"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3837" w:type="dxa"/>
            <w:vAlign w:val="top"/>
          </w:tcPr>
          <w:p w14:paraId="4DBA7B88">
            <w:pPr>
              <w:rPr>
                <w:rFonts w:hint="eastAsia" w:ascii="仿宋" w:hAnsi="仿宋" w:eastAsia="仿宋" w:cs="仿宋"/>
                <w:color w:val="auto"/>
                <w:sz w:val="21"/>
                <w:highlight w:val="none"/>
              </w:rPr>
            </w:pPr>
          </w:p>
        </w:tc>
        <w:tc>
          <w:tcPr>
            <w:tcW w:w="2091" w:type="dxa"/>
            <w:vAlign w:val="top"/>
          </w:tcPr>
          <w:p w14:paraId="0F64C693">
            <w:pPr>
              <w:rPr>
                <w:rFonts w:hint="eastAsia" w:ascii="仿宋" w:hAnsi="仿宋" w:eastAsia="仿宋" w:cs="仿宋"/>
                <w:color w:val="auto"/>
                <w:sz w:val="21"/>
                <w:highlight w:val="none"/>
              </w:rPr>
            </w:pPr>
          </w:p>
        </w:tc>
        <w:tc>
          <w:tcPr>
            <w:tcW w:w="1620" w:type="dxa"/>
            <w:vAlign w:val="top"/>
          </w:tcPr>
          <w:p w14:paraId="392DF335">
            <w:pPr>
              <w:rPr>
                <w:rFonts w:hint="eastAsia" w:ascii="仿宋" w:hAnsi="仿宋" w:eastAsia="仿宋" w:cs="仿宋"/>
                <w:color w:val="auto"/>
                <w:sz w:val="21"/>
                <w:highlight w:val="none"/>
              </w:rPr>
            </w:pPr>
          </w:p>
        </w:tc>
      </w:tr>
      <w:tr w14:paraId="77037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05" w:type="dxa"/>
            <w:vAlign w:val="center"/>
          </w:tcPr>
          <w:p w14:paraId="21CE19EC">
            <w:pPr>
              <w:pStyle w:val="21"/>
              <w:spacing w:before="88" w:line="189"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3837" w:type="dxa"/>
            <w:vAlign w:val="top"/>
          </w:tcPr>
          <w:p w14:paraId="7F4E4E52">
            <w:pPr>
              <w:rPr>
                <w:rFonts w:hint="eastAsia" w:ascii="仿宋" w:hAnsi="仿宋" w:eastAsia="仿宋" w:cs="仿宋"/>
                <w:color w:val="auto"/>
                <w:sz w:val="21"/>
                <w:highlight w:val="none"/>
              </w:rPr>
            </w:pPr>
          </w:p>
        </w:tc>
        <w:tc>
          <w:tcPr>
            <w:tcW w:w="2091" w:type="dxa"/>
            <w:vAlign w:val="top"/>
          </w:tcPr>
          <w:p w14:paraId="34517CB4">
            <w:pPr>
              <w:rPr>
                <w:rFonts w:hint="eastAsia" w:ascii="仿宋" w:hAnsi="仿宋" w:eastAsia="仿宋" w:cs="仿宋"/>
                <w:color w:val="auto"/>
                <w:sz w:val="21"/>
                <w:highlight w:val="none"/>
              </w:rPr>
            </w:pPr>
          </w:p>
        </w:tc>
        <w:tc>
          <w:tcPr>
            <w:tcW w:w="1620" w:type="dxa"/>
            <w:vAlign w:val="top"/>
          </w:tcPr>
          <w:p w14:paraId="2FE76F51">
            <w:pPr>
              <w:rPr>
                <w:rFonts w:hint="eastAsia" w:ascii="仿宋" w:hAnsi="仿宋" w:eastAsia="仿宋" w:cs="仿宋"/>
                <w:color w:val="auto"/>
                <w:sz w:val="21"/>
                <w:highlight w:val="none"/>
              </w:rPr>
            </w:pPr>
          </w:p>
        </w:tc>
      </w:tr>
      <w:tr w14:paraId="7A478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05" w:type="dxa"/>
            <w:vAlign w:val="center"/>
          </w:tcPr>
          <w:p w14:paraId="3E6F6B67">
            <w:pPr>
              <w:pStyle w:val="21"/>
              <w:spacing w:before="88" w:line="188"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3837" w:type="dxa"/>
            <w:vAlign w:val="top"/>
          </w:tcPr>
          <w:p w14:paraId="65CD9868">
            <w:pPr>
              <w:rPr>
                <w:rFonts w:hint="eastAsia" w:ascii="仿宋" w:hAnsi="仿宋" w:eastAsia="仿宋" w:cs="仿宋"/>
                <w:color w:val="auto"/>
                <w:sz w:val="21"/>
                <w:highlight w:val="none"/>
              </w:rPr>
            </w:pPr>
          </w:p>
        </w:tc>
        <w:tc>
          <w:tcPr>
            <w:tcW w:w="2091" w:type="dxa"/>
            <w:vAlign w:val="top"/>
          </w:tcPr>
          <w:p w14:paraId="77EABCC2">
            <w:pPr>
              <w:rPr>
                <w:rFonts w:hint="eastAsia" w:ascii="仿宋" w:hAnsi="仿宋" w:eastAsia="仿宋" w:cs="仿宋"/>
                <w:color w:val="auto"/>
                <w:sz w:val="21"/>
                <w:highlight w:val="none"/>
              </w:rPr>
            </w:pPr>
          </w:p>
        </w:tc>
        <w:tc>
          <w:tcPr>
            <w:tcW w:w="1620" w:type="dxa"/>
            <w:vAlign w:val="top"/>
          </w:tcPr>
          <w:p w14:paraId="668A6BC2">
            <w:pPr>
              <w:rPr>
                <w:rFonts w:hint="eastAsia" w:ascii="仿宋" w:hAnsi="仿宋" w:eastAsia="仿宋" w:cs="仿宋"/>
                <w:color w:val="auto"/>
                <w:sz w:val="21"/>
                <w:highlight w:val="none"/>
              </w:rPr>
            </w:pPr>
          </w:p>
        </w:tc>
      </w:tr>
      <w:tr w14:paraId="0BD62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05" w:type="dxa"/>
            <w:vAlign w:val="center"/>
          </w:tcPr>
          <w:p w14:paraId="238797CA">
            <w:pPr>
              <w:pStyle w:val="21"/>
              <w:spacing w:before="92" w:line="187"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3837" w:type="dxa"/>
            <w:vAlign w:val="top"/>
          </w:tcPr>
          <w:p w14:paraId="6CCD542E">
            <w:pPr>
              <w:rPr>
                <w:rFonts w:hint="eastAsia" w:ascii="仿宋" w:hAnsi="仿宋" w:eastAsia="仿宋" w:cs="仿宋"/>
                <w:color w:val="auto"/>
                <w:sz w:val="21"/>
                <w:highlight w:val="none"/>
              </w:rPr>
            </w:pPr>
          </w:p>
        </w:tc>
        <w:tc>
          <w:tcPr>
            <w:tcW w:w="2091" w:type="dxa"/>
            <w:vAlign w:val="top"/>
          </w:tcPr>
          <w:p w14:paraId="133F7BE2">
            <w:pPr>
              <w:rPr>
                <w:rFonts w:hint="eastAsia" w:ascii="仿宋" w:hAnsi="仿宋" w:eastAsia="仿宋" w:cs="仿宋"/>
                <w:color w:val="auto"/>
                <w:sz w:val="21"/>
                <w:highlight w:val="none"/>
              </w:rPr>
            </w:pPr>
          </w:p>
        </w:tc>
        <w:tc>
          <w:tcPr>
            <w:tcW w:w="1620" w:type="dxa"/>
            <w:vAlign w:val="top"/>
          </w:tcPr>
          <w:p w14:paraId="4D680363">
            <w:pPr>
              <w:rPr>
                <w:rFonts w:hint="eastAsia" w:ascii="仿宋" w:hAnsi="仿宋" w:eastAsia="仿宋" w:cs="仿宋"/>
                <w:color w:val="auto"/>
                <w:sz w:val="21"/>
                <w:highlight w:val="none"/>
              </w:rPr>
            </w:pPr>
          </w:p>
        </w:tc>
      </w:tr>
      <w:tr w14:paraId="2840E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305" w:type="dxa"/>
            <w:vAlign w:val="center"/>
          </w:tcPr>
          <w:p w14:paraId="45FA9801">
            <w:pPr>
              <w:pStyle w:val="21"/>
              <w:spacing w:before="90" w:line="189"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3837" w:type="dxa"/>
            <w:vAlign w:val="top"/>
          </w:tcPr>
          <w:p w14:paraId="79342F0D">
            <w:pPr>
              <w:rPr>
                <w:rFonts w:hint="eastAsia" w:ascii="仿宋" w:hAnsi="仿宋" w:eastAsia="仿宋" w:cs="仿宋"/>
                <w:color w:val="auto"/>
                <w:sz w:val="21"/>
                <w:highlight w:val="none"/>
              </w:rPr>
            </w:pPr>
          </w:p>
        </w:tc>
        <w:tc>
          <w:tcPr>
            <w:tcW w:w="2091" w:type="dxa"/>
            <w:vAlign w:val="top"/>
          </w:tcPr>
          <w:p w14:paraId="3CF06544">
            <w:pPr>
              <w:rPr>
                <w:rFonts w:hint="eastAsia" w:ascii="仿宋" w:hAnsi="仿宋" w:eastAsia="仿宋" w:cs="仿宋"/>
                <w:color w:val="auto"/>
                <w:sz w:val="21"/>
                <w:highlight w:val="none"/>
              </w:rPr>
            </w:pPr>
          </w:p>
        </w:tc>
        <w:tc>
          <w:tcPr>
            <w:tcW w:w="1620" w:type="dxa"/>
            <w:vAlign w:val="top"/>
          </w:tcPr>
          <w:p w14:paraId="63428BCD">
            <w:pPr>
              <w:rPr>
                <w:rFonts w:hint="eastAsia" w:ascii="仿宋" w:hAnsi="仿宋" w:eastAsia="仿宋" w:cs="仿宋"/>
                <w:color w:val="auto"/>
                <w:sz w:val="21"/>
                <w:highlight w:val="none"/>
              </w:rPr>
            </w:pPr>
          </w:p>
        </w:tc>
      </w:tr>
      <w:tr w14:paraId="2E932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853" w:type="dxa"/>
            <w:gridSpan w:val="4"/>
            <w:vAlign w:val="top"/>
          </w:tcPr>
          <w:p w14:paraId="4CA8E733">
            <w:pPr>
              <w:pStyle w:val="21"/>
              <w:spacing w:before="56" w:line="229" w:lineRule="auto"/>
              <w:ind w:left="4310"/>
              <w:rPr>
                <w:rFonts w:hint="eastAsia" w:ascii="仿宋" w:hAnsi="仿宋" w:eastAsia="仿宋" w:cs="仿宋"/>
                <w:color w:val="auto"/>
                <w:highlight w:val="none"/>
              </w:rPr>
            </w:pPr>
            <w:r>
              <w:rPr>
                <w:rFonts w:hint="eastAsia" w:ascii="仿宋" w:hAnsi="仿宋" w:eastAsia="仿宋" w:cs="仿宋"/>
                <w:color w:val="auto"/>
                <w:spacing w:val="1"/>
                <w:highlight w:val="none"/>
              </w:rPr>
              <w:t>合计</w:t>
            </w:r>
          </w:p>
        </w:tc>
      </w:tr>
    </w:tbl>
    <w:p w14:paraId="797895FA">
      <w:pPr>
        <w:pStyle w:val="4"/>
        <w:spacing w:line="436" w:lineRule="auto"/>
        <w:rPr>
          <w:rFonts w:hint="eastAsia" w:ascii="仿宋" w:hAnsi="仿宋" w:eastAsia="仿宋" w:cs="仿宋"/>
          <w:color w:val="auto"/>
          <w:highlight w:val="none"/>
        </w:rPr>
      </w:pPr>
    </w:p>
    <w:p w14:paraId="3ECB6A6F">
      <w:pPr>
        <w:pStyle w:val="31"/>
        <w:keepNext w:val="0"/>
        <w:keepLines w:val="0"/>
        <w:pageBreakBefore w:val="0"/>
        <w:widowControl/>
        <w:kinsoku w:val="0"/>
        <w:wordWrap/>
        <w:overflowPunct/>
        <w:topLinePunct w:val="0"/>
        <w:autoSpaceDE w:val="0"/>
        <w:autoSpaceDN w:val="0"/>
        <w:bidi w:val="0"/>
        <w:adjustRightInd w:val="0"/>
        <w:snapToGrid w:val="0"/>
        <w:spacing w:line="357" w:lineRule="exact"/>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所有价格均用</w:t>
      </w:r>
      <w:r>
        <w:rPr>
          <w:rFonts w:hint="eastAsia" w:ascii="仿宋" w:hAnsi="仿宋" w:eastAsia="仿宋" w:cs="仿宋"/>
          <w:color w:val="auto"/>
          <w:sz w:val="24"/>
          <w:szCs w:val="24"/>
          <w:highlight w:val="none"/>
          <w:lang w:eastAsia="zh-CN"/>
        </w:rPr>
        <w:t>下浮率</w:t>
      </w:r>
      <w:r>
        <w:rPr>
          <w:rFonts w:hint="eastAsia" w:ascii="仿宋" w:hAnsi="仿宋" w:eastAsia="仿宋" w:cs="仿宋"/>
          <w:color w:val="auto"/>
          <w:sz w:val="24"/>
          <w:szCs w:val="24"/>
          <w:highlight w:val="none"/>
        </w:rPr>
        <w:t>表示，单位为</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w:t>
      </w:r>
    </w:p>
    <w:p w14:paraId="5326278E">
      <w:pPr>
        <w:pStyle w:val="31"/>
        <w:keepNext w:val="0"/>
        <w:keepLines w:val="0"/>
        <w:pageBreakBefore w:val="0"/>
        <w:widowControl/>
        <w:tabs>
          <w:tab w:val="left" w:pos="378"/>
        </w:tabs>
        <w:kinsoku w:val="0"/>
        <w:wordWrap/>
        <w:overflowPunct/>
        <w:topLinePunct w:val="0"/>
        <w:autoSpaceDE w:val="0"/>
        <w:autoSpaceDN w:val="0"/>
        <w:bidi w:val="0"/>
        <w:adjustRightInd w:val="0"/>
        <w:snapToGrid w:val="0"/>
        <w:spacing w:line="357" w:lineRule="exact"/>
        <w:ind w:firstLine="720" w:firstLineChars="3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报价总计价格必须与《</w:t>
      </w:r>
      <w:r>
        <w:rPr>
          <w:rFonts w:hint="eastAsia" w:ascii="仿宋" w:hAnsi="仿宋" w:eastAsia="仿宋" w:cs="仿宋"/>
          <w:color w:val="auto"/>
          <w:sz w:val="24"/>
          <w:szCs w:val="24"/>
          <w:highlight w:val="none"/>
          <w:lang w:eastAsia="zh-CN"/>
        </w:rPr>
        <w:t>开标一览表</w:t>
      </w:r>
      <w:r>
        <w:rPr>
          <w:rFonts w:hint="eastAsia" w:ascii="仿宋" w:hAnsi="仿宋" w:eastAsia="仿宋" w:cs="仿宋"/>
          <w:color w:val="auto"/>
          <w:sz w:val="24"/>
          <w:szCs w:val="24"/>
          <w:highlight w:val="none"/>
        </w:rPr>
        <w:t>》报价一致。</w:t>
      </w:r>
    </w:p>
    <w:p w14:paraId="2FE5E53F">
      <w:pPr>
        <w:pStyle w:val="31"/>
        <w:keepNext w:val="0"/>
        <w:keepLines w:val="0"/>
        <w:pageBreakBefore w:val="0"/>
        <w:widowControl/>
        <w:tabs>
          <w:tab w:val="left" w:pos="490"/>
        </w:tabs>
        <w:kinsoku w:val="0"/>
        <w:wordWrap/>
        <w:overflowPunct/>
        <w:topLinePunct w:val="0"/>
        <w:autoSpaceDE w:val="0"/>
        <w:autoSpaceDN w:val="0"/>
        <w:bidi w:val="0"/>
        <w:adjustRightInd w:val="0"/>
        <w:snapToGrid w:val="0"/>
        <w:spacing w:line="357" w:lineRule="exact"/>
        <w:ind w:firstLine="720" w:firstLineChars="3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如果不提供详细的分项报价表将被视为没有实质性</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w:t>
      </w:r>
    </w:p>
    <w:p w14:paraId="26507157">
      <w:pPr>
        <w:pStyle w:val="31"/>
        <w:keepNext w:val="0"/>
        <w:keepLines w:val="0"/>
        <w:pageBreakBefore w:val="0"/>
        <w:widowControl/>
        <w:tabs>
          <w:tab w:val="left" w:pos="493"/>
        </w:tabs>
        <w:kinsoku w:val="0"/>
        <w:wordWrap/>
        <w:overflowPunct/>
        <w:topLinePunct w:val="0"/>
        <w:autoSpaceDE w:val="0"/>
        <w:autoSpaceDN w:val="0"/>
        <w:bidi w:val="0"/>
        <w:adjustRightInd w:val="0"/>
        <w:snapToGrid w:val="0"/>
        <w:spacing w:line="357" w:lineRule="exact"/>
        <w:ind w:left="210" w:leftChars="100"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供应商必须按此表格式中的对应栏目内容填写，若需增加栏目，请在栏目</w:t>
      </w:r>
      <w:r>
        <w:rPr>
          <w:rFonts w:hint="eastAsia" w:ascii="仿宋" w:hAnsi="仿宋" w:eastAsia="仿宋" w:cs="仿宋"/>
          <w:color w:val="auto"/>
          <w:sz w:val="24"/>
          <w:szCs w:val="24"/>
          <w:highlight w:val="none"/>
          <w:lang w:val="zh-CN" w:eastAsia="zh-CN" w:bidi="zh-CN"/>
        </w:rPr>
        <w:t>“其</w:t>
      </w:r>
      <w:r>
        <w:rPr>
          <w:rFonts w:hint="eastAsia" w:ascii="仿宋" w:hAnsi="仿宋" w:eastAsia="仿宋" w:cs="仿宋"/>
          <w:color w:val="auto"/>
          <w:sz w:val="24"/>
          <w:szCs w:val="24"/>
          <w:highlight w:val="none"/>
        </w:rPr>
        <w:t>它”中填写，并作详细说明。</w:t>
      </w:r>
    </w:p>
    <w:p w14:paraId="64BADC29">
      <w:pPr>
        <w:numPr>
          <w:ilvl w:val="0"/>
          <w:numId w:val="0"/>
        </w:numPr>
        <w:spacing w:before="115" w:line="242" w:lineRule="auto"/>
        <w:ind w:left="861" w:leftChars="0" w:right="16" w:rightChars="0"/>
        <w:rPr>
          <w:rFonts w:hint="eastAsia" w:ascii="仿宋" w:hAnsi="仿宋" w:eastAsia="仿宋" w:cs="仿宋"/>
          <w:color w:val="auto"/>
          <w:sz w:val="24"/>
          <w:szCs w:val="24"/>
          <w:highlight w:val="none"/>
        </w:rPr>
      </w:pPr>
    </w:p>
    <w:p w14:paraId="784DA2B5">
      <w:pPr>
        <w:numPr>
          <w:ilvl w:val="0"/>
          <w:numId w:val="0"/>
        </w:numPr>
        <w:spacing w:before="115" w:line="242" w:lineRule="auto"/>
        <w:ind w:left="861" w:leftChars="0" w:right="16" w:rightChars="0"/>
        <w:rPr>
          <w:rFonts w:hint="eastAsia" w:ascii="仿宋" w:hAnsi="仿宋" w:eastAsia="仿宋" w:cs="仿宋"/>
          <w:color w:val="auto"/>
          <w:sz w:val="24"/>
          <w:szCs w:val="24"/>
          <w:highlight w:val="none"/>
        </w:rPr>
      </w:pPr>
    </w:p>
    <w:p w14:paraId="3F16C20E">
      <w:pPr>
        <w:numPr>
          <w:ilvl w:val="0"/>
          <w:numId w:val="0"/>
        </w:numPr>
        <w:spacing w:before="115" w:line="242" w:lineRule="auto"/>
        <w:ind w:left="861" w:leftChars="0" w:right="16" w:rightChars="0"/>
        <w:rPr>
          <w:rFonts w:hint="eastAsia" w:ascii="仿宋" w:hAnsi="仿宋" w:eastAsia="仿宋" w:cs="仿宋"/>
          <w:color w:val="auto"/>
          <w:sz w:val="24"/>
          <w:szCs w:val="24"/>
          <w:highlight w:val="none"/>
        </w:rPr>
      </w:pPr>
    </w:p>
    <w:p w14:paraId="562EC9A3">
      <w:pPr>
        <w:numPr>
          <w:ilvl w:val="0"/>
          <w:numId w:val="0"/>
        </w:numPr>
        <w:spacing w:before="115" w:line="242" w:lineRule="auto"/>
        <w:ind w:left="861" w:leftChars="0" w:right="16" w:rightChars="0"/>
        <w:rPr>
          <w:rFonts w:hint="eastAsia" w:ascii="仿宋" w:hAnsi="仿宋" w:eastAsia="仿宋" w:cs="仿宋"/>
          <w:color w:val="auto"/>
          <w:sz w:val="24"/>
          <w:szCs w:val="24"/>
          <w:highlight w:val="none"/>
        </w:rPr>
      </w:pPr>
    </w:p>
    <w:p w14:paraId="5CA5D6D8">
      <w:pPr>
        <w:spacing w:before="1" w:line="226" w:lineRule="auto"/>
        <w:ind w:left="768"/>
        <w:rPr>
          <w:rFonts w:hint="eastAsia" w:ascii="仿宋" w:hAnsi="仿宋" w:eastAsia="仿宋" w:cs="仿宋"/>
          <w:color w:val="auto"/>
          <w:spacing w:val="3"/>
          <w:sz w:val="24"/>
          <w:szCs w:val="24"/>
          <w:highlight w:val="none"/>
          <w:u w:val="single" w:color="auto"/>
        </w:rPr>
      </w:pPr>
      <w:r>
        <w:rPr>
          <w:rFonts w:hint="eastAsia" w:ascii="仿宋" w:hAnsi="仿宋" w:eastAsia="仿宋" w:cs="仿宋"/>
          <w:color w:val="auto"/>
          <w:spacing w:val="4"/>
          <w:sz w:val="24"/>
          <w:szCs w:val="24"/>
          <w:highlight w:val="none"/>
        </w:rPr>
        <w:t>供应商(盖公章):</w:t>
      </w:r>
      <w:r>
        <w:rPr>
          <w:rFonts w:hint="eastAsia" w:ascii="仿宋" w:hAnsi="仿宋" w:eastAsia="仿宋" w:cs="仿宋"/>
          <w:color w:val="auto"/>
          <w:spacing w:val="4"/>
          <w:sz w:val="24"/>
          <w:szCs w:val="24"/>
          <w:highlight w:val="none"/>
          <w:u w:val="single" w:color="auto"/>
        </w:rPr>
        <w:t xml:space="preserve">           </w:t>
      </w:r>
      <w:r>
        <w:rPr>
          <w:rFonts w:hint="eastAsia" w:ascii="仿宋" w:hAnsi="仿宋" w:eastAsia="仿宋" w:cs="仿宋"/>
          <w:color w:val="auto"/>
          <w:spacing w:val="3"/>
          <w:sz w:val="24"/>
          <w:szCs w:val="24"/>
          <w:highlight w:val="none"/>
          <w:u w:val="single" w:color="auto"/>
        </w:rPr>
        <w:t xml:space="preserve">              </w:t>
      </w:r>
    </w:p>
    <w:p w14:paraId="51A22DD5">
      <w:pPr>
        <w:spacing w:before="1" w:line="226" w:lineRule="auto"/>
        <w:ind w:left="768"/>
        <w:rPr>
          <w:rFonts w:hint="eastAsia" w:ascii="仿宋" w:hAnsi="仿宋" w:eastAsia="仿宋" w:cs="仿宋"/>
          <w:color w:val="auto"/>
          <w:spacing w:val="3"/>
          <w:sz w:val="24"/>
          <w:szCs w:val="24"/>
          <w:highlight w:val="none"/>
          <w:u w:val="single" w:color="auto"/>
        </w:rPr>
      </w:pPr>
    </w:p>
    <w:p w14:paraId="5EE9591A">
      <w:pPr>
        <w:spacing w:before="1" w:line="226" w:lineRule="auto"/>
        <w:ind w:left="768"/>
        <w:rPr>
          <w:rFonts w:hint="eastAsia" w:ascii="仿宋" w:hAnsi="仿宋" w:eastAsia="仿宋" w:cs="仿宋"/>
          <w:color w:val="auto"/>
          <w:spacing w:val="3"/>
          <w:sz w:val="24"/>
          <w:szCs w:val="24"/>
          <w:highlight w:val="none"/>
          <w:u w:val="single" w:color="auto"/>
        </w:rPr>
      </w:pPr>
    </w:p>
    <w:p w14:paraId="34CFD228">
      <w:pPr>
        <w:spacing w:before="75" w:line="227" w:lineRule="auto"/>
        <w:ind w:left="77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法定代表人或委托代理人（签字或</w:t>
      </w:r>
      <w:r>
        <w:rPr>
          <w:rFonts w:hint="eastAsia" w:ascii="仿宋" w:hAnsi="仿宋" w:eastAsia="仿宋" w:cs="仿宋"/>
          <w:color w:val="auto"/>
          <w:spacing w:val="4"/>
          <w:sz w:val="24"/>
          <w:szCs w:val="24"/>
          <w:highlight w:val="none"/>
        </w:rPr>
        <w:t>签</w:t>
      </w:r>
      <w:r>
        <w:rPr>
          <w:rFonts w:hint="eastAsia" w:ascii="仿宋" w:hAnsi="仿宋" w:eastAsia="仿宋" w:cs="仿宋"/>
          <w:color w:val="auto"/>
          <w:spacing w:val="1"/>
          <w:sz w:val="24"/>
          <w:szCs w:val="24"/>
          <w:highlight w:val="none"/>
        </w:rPr>
        <w:t>章） :</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z w:val="24"/>
          <w:szCs w:val="24"/>
          <w:highlight w:val="none"/>
          <w:u w:val="single" w:color="auto"/>
        </w:rPr>
        <w:t xml:space="preserve">              </w:t>
      </w:r>
    </w:p>
    <w:p w14:paraId="7A20F0D5">
      <w:pPr>
        <w:spacing w:line="227" w:lineRule="auto"/>
        <w:rPr>
          <w:rFonts w:hint="eastAsia" w:ascii="仿宋" w:hAnsi="仿宋" w:eastAsia="仿宋" w:cs="仿宋"/>
          <w:color w:val="auto"/>
          <w:sz w:val="24"/>
          <w:szCs w:val="24"/>
          <w:highlight w:val="none"/>
        </w:rPr>
      </w:pPr>
    </w:p>
    <w:p w14:paraId="046FEE3D">
      <w:pPr>
        <w:spacing w:before="217" w:line="227" w:lineRule="auto"/>
        <w:ind w:left="510" w:firstLine="224" w:firstLineChars="100"/>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签署日期：</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8"/>
          <w:sz w:val="24"/>
          <w:szCs w:val="24"/>
          <w:highlight w:val="none"/>
        </w:rPr>
        <w:t>年</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82"/>
          <w:sz w:val="24"/>
          <w:szCs w:val="24"/>
          <w:highlight w:val="none"/>
        </w:rPr>
        <w:t xml:space="preserve"> </w:t>
      </w:r>
      <w:r>
        <w:rPr>
          <w:rFonts w:hint="eastAsia" w:ascii="仿宋" w:hAnsi="仿宋" w:eastAsia="仿宋" w:cs="仿宋"/>
          <w:color w:val="auto"/>
          <w:spacing w:val="-8"/>
          <w:sz w:val="24"/>
          <w:szCs w:val="24"/>
          <w:highlight w:val="none"/>
        </w:rPr>
        <w:t xml:space="preserve">月 </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8"/>
          <w:sz w:val="24"/>
          <w:szCs w:val="24"/>
          <w:highlight w:val="none"/>
        </w:rPr>
        <w:t xml:space="preserve"> 日</w:t>
      </w:r>
    </w:p>
    <w:p w14:paraId="2D741F58">
      <w:pPr>
        <w:spacing w:before="217" w:line="227" w:lineRule="auto"/>
        <w:ind w:left="510" w:firstLine="214" w:firstLineChars="100"/>
        <w:rPr>
          <w:rFonts w:hint="eastAsia" w:ascii="仿宋" w:hAnsi="仿宋" w:eastAsia="仿宋" w:cs="仿宋"/>
          <w:color w:val="auto"/>
          <w:spacing w:val="-8"/>
          <w:sz w:val="23"/>
          <w:szCs w:val="23"/>
          <w:highlight w:val="none"/>
        </w:rPr>
      </w:pPr>
    </w:p>
    <w:p w14:paraId="36B8065F">
      <w:pPr>
        <w:spacing w:before="217" w:line="227" w:lineRule="auto"/>
        <w:ind w:left="510" w:firstLine="214" w:firstLineChars="100"/>
        <w:rPr>
          <w:rFonts w:hint="eastAsia" w:ascii="仿宋" w:hAnsi="仿宋" w:eastAsia="仿宋" w:cs="仿宋"/>
          <w:color w:val="auto"/>
          <w:spacing w:val="-8"/>
          <w:sz w:val="23"/>
          <w:szCs w:val="23"/>
          <w:highlight w:val="none"/>
        </w:rPr>
      </w:pPr>
    </w:p>
    <w:p w14:paraId="04A5D9B6">
      <w:pPr>
        <w:pStyle w:val="4"/>
        <w:spacing w:line="480" w:lineRule="auto"/>
        <w:jc w:val="center"/>
        <w:rPr>
          <w:rFonts w:hint="eastAsia" w:ascii="仿宋" w:hAnsi="仿宋" w:eastAsia="仿宋" w:cs="仿宋"/>
          <w:color w:val="auto"/>
          <w:spacing w:val="4"/>
          <w:position w:val="14"/>
          <w:sz w:val="23"/>
          <w:szCs w:val="23"/>
          <w:highlight w:val="none"/>
        </w:rPr>
      </w:pPr>
    </w:p>
    <w:p w14:paraId="562B4542">
      <w:pPr>
        <w:pStyle w:val="4"/>
        <w:spacing w:line="480" w:lineRule="auto"/>
        <w:jc w:val="center"/>
        <w:rPr>
          <w:rFonts w:hint="eastAsia" w:ascii="仿宋" w:hAnsi="仿宋" w:eastAsia="仿宋" w:cs="仿宋"/>
          <w:color w:val="auto"/>
          <w:highlight w:val="none"/>
        </w:rPr>
      </w:pPr>
      <w:r>
        <w:rPr>
          <w:rFonts w:hint="eastAsia" w:ascii="仿宋" w:hAnsi="仿宋" w:eastAsia="仿宋" w:cs="仿宋"/>
          <w:color w:val="auto"/>
          <w:spacing w:val="4"/>
          <w:position w:val="14"/>
          <w:sz w:val="23"/>
          <w:szCs w:val="23"/>
          <w:highlight w:val="none"/>
        </w:rPr>
        <w:t>（响应文件格式七）</w:t>
      </w:r>
    </w:p>
    <w:p w14:paraId="09538C38">
      <w:pPr>
        <w:spacing w:before="75" w:line="227" w:lineRule="auto"/>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4 商务条款偏离表</w:t>
      </w:r>
    </w:p>
    <w:p w14:paraId="27831B4F">
      <w:pPr>
        <w:rPr>
          <w:rFonts w:hint="eastAsia" w:ascii="仿宋" w:hAnsi="仿宋" w:eastAsia="仿宋" w:cs="仿宋"/>
          <w:color w:val="auto"/>
          <w:highlight w:val="none"/>
        </w:rPr>
      </w:pPr>
    </w:p>
    <w:p w14:paraId="7A1AB975">
      <w:pPr>
        <w:rPr>
          <w:rFonts w:hint="eastAsia" w:ascii="仿宋" w:hAnsi="仿宋" w:eastAsia="仿宋" w:cs="仿宋"/>
          <w:color w:val="auto"/>
          <w:highlight w:val="none"/>
        </w:rPr>
        <w:sectPr>
          <w:footerReference r:id="rId36" w:type="default"/>
          <w:pgSz w:w="11905" w:h="16838"/>
          <w:pgMar w:top="1020" w:right="1134" w:bottom="1020" w:left="1134" w:header="0" w:footer="573" w:gutter="0"/>
          <w:pgNumType w:fmt="decimal"/>
          <w:cols w:space="0" w:num="1"/>
          <w:rtlGutter w:val="0"/>
          <w:docGrid w:linePitch="0" w:charSpace="0"/>
        </w:sectPr>
      </w:pPr>
    </w:p>
    <w:p w14:paraId="3A479DF5">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项目名称 : </w:t>
      </w:r>
    </w:p>
    <w:p w14:paraId="3B3CE671">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                      </w:t>
      </w:r>
    </w:p>
    <w:p w14:paraId="5738DEDA">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项目编号: </w:t>
      </w:r>
    </w:p>
    <w:p w14:paraId="775EBF09">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            </w:t>
      </w:r>
    </w:p>
    <w:p w14:paraId="58337D79">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包号:</w:t>
      </w:r>
    </w:p>
    <w:p w14:paraId="430C481D">
      <w:pPr>
        <w:spacing w:line="212" w:lineRule="exact"/>
        <w:rPr>
          <w:rFonts w:hint="eastAsia" w:ascii="仿宋" w:hAnsi="仿宋" w:eastAsia="仿宋" w:cs="仿宋"/>
          <w:color w:val="auto"/>
          <w:highlight w:val="none"/>
        </w:rPr>
      </w:pPr>
    </w:p>
    <w:tbl>
      <w:tblPr>
        <w:tblStyle w:val="20"/>
        <w:tblW w:w="8780" w:type="dxa"/>
        <w:tblInd w:w="12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1983"/>
        <w:gridCol w:w="2644"/>
        <w:gridCol w:w="2517"/>
        <w:gridCol w:w="805"/>
      </w:tblGrid>
      <w:tr w14:paraId="69894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831" w:type="dxa"/>
            <w:vAlign w:val="top"/>
          </w:tcPr>
          <w:p w14:paraId="1BEB8412">
            <w:pPr>
              <w:pStyle w:val="21"/>
              <w:spacing w:before="55" w:line="229" w:lineRule="auto"/>
              <w:ind w:left="186"/>
              <w:rPr>
                <w:rFonts w:hint="eastAsia" w:ascii="仿宋" w:hAnsi="仿宋" w:eastAsia="仿宋" w:cs="仿宋"/>
                <w:color w:val="auto"/>
                <w:highlight w:val="none"/>
              </w:rPr>
            </w:pPr>
            <w:r>
              <w:rPr>
                <w:rFonts w:hint="eastAsia" w:ascii="仿宋" w:hAnsi="仿宋" w:eastAsia="仿宋" w:cs="仿宋"/>
                <w:color w:val="auto"/>
                <w:spacing w:val="3"/>
                <w:highlight w:val="none"/>
              </w:rPr>
              <w:t>序号</w:t>
            </w:r>
          </w:p>
        </w:tc>
        <w:tc>
          <w:tcPr>
            <w:tcW w:w="1983" w:type="dxa"/>
            <w:vAlign w:val="top"/>
          </w:tcPr>
          <w:p w14:paraId="311909F7">
            <w:pPr>
              <w:pStyle w:val="21"/>
              <w:spacing w:before="54" w:line="227" w:lineRule="auto"/>
              <w:ind w:left="170"/>
              <w:rPr>
                <w:rFonts w:hint="eastAsia" w:ascii="仿宋" w:hAnsi="仿宋" w:eastAsia="仿宋" w:cs="仿宋"/>
                <w:color w:val="auto"/>
                <w:highlight w:val="none"/>
              </w:rPr>
            </w:pPr>
            <w:r>
              <w:rPr>
                <w:rFonts w:hint="eastAsia" w:ascii="仿宋" w:hAnsi="仿宋" w:eastAsia="仿宋" w:cs="仿宋"/>
                <w:color w:val="auto"/>
                <w:spacing w:val="6"/>
                <w:highlight w:val="none"/>
              </w:rPr>
              <w:t>征集文件条款号</w:t>
            </w:r>
          </w:p>
        </w:tc>
        <w:tc>
          <w:tcPr>
            <w:tcW w:w="2644" w:type="dxa"/>
            <w:vAlign w:val="top"/>
          </w:tcPr>
          <w:p w14:paraId="7E1D9C1A">
            <w:pPr>
              <w:pStyle w:val="21"/>
              <w:spacing w:before="54" w:line="227" w:lineRule="auto"/>
              <w:ind w:left="263"/>
              <w:rPr>
                <w:rFonts w:hint="eastAsia" w:ascii="仿宋" w:hAnsi="仿宋" w:eastAsia="仿宋" w:cs="仿宋"/>
                <w:color w:val="auto"/>
                <w:highlight w:val="none"/>
              </w:rPr>
            </w:pPr>
            <w:r>
              <w:rPr>
                <w:rFonts w:hint="eastAsia" w:ascii="仿宋" w:hAnsi="仿宋" w:eastAsia="仿宋" w:cs="仿宋"/>
                <w:color w:val="auto"/>
                <w:spacing w:val="6"/>
                <w:highlight w:val="none"/>
              </w:rPr>
              <w:t>征集文件的商务条款</w:t>
            </w:r>
          </w:p>
        </w:tc>
        <w:tc>
          <w:tcPr>
            <w:tcW w:w="2517" w:type="dxa"/>
            <w:vAlign w:val="top"/>
          </w:tcPr>
          <w:p w14:paraId="278F30A4">
            <w:pPr>
              <w:pStyle w:val="21"/>
              <w:spacing w:before="54" w:line="227" w:lineRule="auto"/>
              <w:ind w:left="222"/>
              <w:rPr>
                <w:rFonts w:hint="eastAsia" w:ascii="仿宋" w:hAnsi="仿宋" w:eastAsia="仿宋" w:cs="仿宋"/>
                <w:color w:val="auto"/>
                <w:highlight w:val="none"/>
              </w:rPr>
            </w:pPr>
            <w:r>
              <w:rPr>
                <w:rFonts w:hint="eastAsia" w:ascii="仿宋" w:hAnsi="仿宋" w:eastAsia="仿宋" w:cs="仿宋"/>
                <w:color w:val="auto"/>
                <w:spacing w:val="4"/>
                <w:highlight w:val="none"/>
              </w:rPr>
              <w:t>响应文件的商务条款</w:t>
            </w:r>
          </w:p>
        </w:tc>
        <w:tc>
          <w:tcPr>
            <w:tcW w:w="805" w:type="dxa"/>
            <w:vAlign w:val="top"/>
          </w:tcPr>
          <w:p w14:paraId="0F22BA7A">
            <w:pPr>
              <w:pStyle w:val="21"/>
              <w:spacing w:before="54" w:line="227" w:lineRule="auto"/>
              <w:ind w:left="185"/>
              <w:rPr>
                <w:rFonts w:hint="eastAsia" w:ascii="仿宋" w:hAnsi="仿宋" w:eastAsia="仿宋" w:cs="仿宋"/>
                <w:color w:val="auto"/>
                <w:highlight w:val="none"/>
              </w:rPr>
            </w:pPr>
            <w:r>
              <w:rPr>
                <w:rFonts w:hint="eastAsia" w:ascii="仿宋" w:hAnsi="仿宋" w:eastAsia="仿宋" w:cs="仿宋"/>
                <w:color w:val="auto"/>
                <w:highlight w:val="none"/>
              </w:rPr>
              <w:t>说明</w:t>
            </w:r>
          </w:p>
        </w:tc>
      </w:tr>
      <w:tr w14:paraId="3B71D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075E2A89">
            <w:pPr>
              <w:rPr>
                <w:rFonts w:hint="eastAsia" w:ascii="仿宋" w:hAnsi="仿宋" w:eastAsia="仿宋" w:cs="仿宋"/>
                <w:color w:val="auto"/>
                <w:sz w:val="21"/>
                <w:highlight w:val="none"/>
              </w:rPr>
            </w:pPr>
          </w:p>
        </w:tc>
        <w:tc>
          <w:tcPr>
            <w:tcW w:w="1983" w:type="dxa"/>
            <w:vAlign w:val="top"/>
          </w:tcPr>
          <w:p w14:paraId="2BCD9981">
            <w:pPr>
              <w:rPr>
                <w:rFonts w:hint="eastAsia" w:ascii="仿宋" w:hAnsi="仿宋" w:eastAsia="仿宋" w:cs="仿宋"/>
                <w:color w:val="auto"/>
                <w:sz w:val="21"/>
                <w:highlight w:val="none"/>
              </w:rPr>
            </w:pPr>
          </w:p>
        </w:tc>
        <w:tc>
          <w:tcPr>
            <w:tcW w:w="2644" w:type="dxa"/>
            <w:vAlign w:val="top"/>
          </w:tcPr>
          <w:p w14:paraId="4D5178D1">
            <w:pPr>
              <w:rPr>
                <w:rFonts w:hint="eastAsia" w:ascii="仿宋" w:hAnsi="仿宋" w:eastAsia="仿宋" w:cs="仿宋"/>
                <w:color w:val="auto"/>
                <w:sz w:val="21"/>
                <w:highlight w:val="none"/>
              </w:rPr>
            </w:pPr>
          </w:p>
        </w:tc>
        <w:tc>
          <w:tcPr>
            <w:tcW w:w="2517" w:type="dxa"/>
            <w:vAlign w:val="top"/>
          </w:tcPr>
          <w:p w14:paraId="16A4F043">
            <w:pPr>
              <w:rPr>
                <w:rFonts w:hint="eastAsia" w:ascii="仿宋" w:hAnsi="仿宋" w:eastAsia="仿宋" w:cs="仿宋"/>
                <w:color w:val="auto"/>
                <w:sz w:val="21"/>
                <w:highlight w:val="none"/>
              </w:rPr>
            </w:pPr>
          </w:p>
        </w:tc>
        <w:tc>
          <w:tcPr>
            <w:tcW w:w="805" w:type="dxa"/>
            <w:vAlign w:val="top"/>
          </w:tcPr>
          <w:p w14:paraId="1BBAA1DE">
            <w:pPr>
              <w:rPr>
                <w:rFonts w:hint="eastAsia" w:ascii="仿宋" w:hAnsi="仿宋" w:eastAsia="仿宋" w:cs="仿宋"/>
                <w:color w:val="auto"/>
                <w:sz w:val="21"/>
                <w:highlight w:val="none"/>
              </w:rPr>
            </w:pPr>
          </w:p>
        </w:tc>
      </w:tr>
      <w:tr w14:paraId="07A1F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558EF13B">
            <w:pPr>
              <w:rPr>
                <w:rFonts w:hint="eastAsia" w:ascii="仿宋" w:hAnsi="仿宋" w:eastAsia="仿宋" w:cs="仿宋"/>
                <w:color w:val="auto"/>
                <w:sz w:val="21"/>
                <w:highlight w:val="none"/>
              </w:rPr>
            </w:pPr>
          </w:p>
        </w:tc>
        <w:tc>
          <w:tcPr>
            <w:tcW w:w="1983" w:type="dxa"/>
            <w:vAlign w:val="top"/>
          </w:tcPr>
          <w:p w14:paraId="119497FA">
            <w:pPr>
              <w:rPr>
                <w:rFonts w:hint="eastAsia" w:ascii="仿宋" w:hAnsi="仿宋" w:eastAsia="仿宋" w:cs="仿宋"/>
                <w:color w:val="auto"/>
                <w:sz w:val="21"/>
                <w:highlight w:val="none"/>
              </w:rPr>
            </w:pPr>
          </w:p>
        </w:tc>
        <w:tc>
          <w:tcPr>
            <w:tcW w:w="2644" w:type="dxa"/>
            <w:vAlign w:val="top"/>
          </w:tcPr>
          <w:p w14:paraId="08EED9C3">
            <w:pPr>
              <w:rPr>
                <w:rFonts w:hint="eastAsia" w:ascii="仿宋" w:hAnsi="仿宋" w:eastAsia="仿宋" w:cs="仿宋"/>
                <w:color w:val="auto"/>
                <w:sz w:val="21"/>
                <w:highlight w:val="none"/>
              </w:rPr>
            </w:pPr>
          </w:p>
        </w:tc>
        <w:tc>
          <w:tcPr>
            <w:tcW w:w="2517" w:type="dxa"/>
            <w:vAlign w:val="top"/>
          </w:tcPr>
          <w:p w14:paraId="1D13D1AF">
            <w:pPr>
              <w:rPr>
                <w:rFonts w:hint="eastAsia" w:ascii="仿宋" w:hAnsi="仿宋" w:eastAsia="仿宋" w:cs="仿宋"/>
                <w:color w:val="auto"/>
                <w:sz w:val="21"/>
                <w:highlight w:val="none"/>
              </w:rPr>
            </w:pPr>
          </w:p>
        </w:tc>
        <w:tc>
          <w:tcPr>
            <w:tcW w:w="805" w:type="dxa"/>
            <w:vAlign w:val="top"/>
          </w:tcPr>
          <w:p w14:paraId="017FA3CB">
            <w:pPr>
              <w:rPr>
                <w:rFonts w:hint="eastAsia" w:ascii="仿宋" w:hAnsi="仿宋" w:eastAsia="仿宋" w:cs="仿宋"/>
                <w:color w:val="auto"/>
                <w:sz w:val="21"/>
                <w:highlight w:val="none"/>
              </w:rPr>
            </w:pPr>
          </w:p>
        </w:tc>
      </w:tr>
      <w:tr w14:paraId="08071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0BA5440E">
            <w:pPr>
              <w:rPr>
                <w:rFonts w:hint="eastAsia" w:ascii="仿宋" w:hAnsi="仿宋" w:eastAsia="仿宋" w:cs="仿宋"/>
                <w:color w:val="auto"/>
                <w:sz w:val="21"/>
                <w:highlight w:val="none"/>
              </w:rPr>
            </w:pPr>
          </w:p>
        </w:tc>
        <w:tc>
          <w:tcPr>
            <w:tcW w:w="1983" w:type="dxa"/>
            <w:vAlign w:val="top"/>
          </w:tcPr>
          <w:p w14:paraId="7B192DFF">
            <w:pPr>
              <w:rPr>
                <w:rFonts w:hint="eastAsia" w:ascii="仿宋" w:hAnsi="仿宋" w:eastAsia="仿宋" w:cs="仿宋"/>
                <w:color w:val="auto"/>
                <w:sz w:val="21"/>
                <w:highlight w:val="none"/>
              </w:rPr>
            </w:pPr>
          </w:p>
        </w:tc>
        <w:tc>
          <w:tcPr>
            <w:tcW w:w="2644" w:type="dxa"/>
            <w:vAlign w:val="top"/>
          </w:tcPr>
          <w:p w14:paraId="06706F30">
            <w:pPr>
              <w:rPr>
                <w:rFonts w:hint="eastAsia" w:ascii="仿宋" w:hAnsi="仿宋" w:eastAsia="仿宋" w:cs="仿宋"/>
                <w:color w:val="auto"/>
                <w:sz w:val="21"/>
                <w:highlight w:val="none"/>
              </w:rPr>
            </w:pPr>
          </w:p>
        </w:tc>
        <w:tc>
          <w:tcPr>
            <w:tcW w:w="2517" w:type="dxa"/>
            <w:vAlign w:val="top"/>
          </w:tcPr>
          <w:p w14:paraId="0F8CF591">
            <w:pPr>
              <w:rPr>
                <w:rFonts w:hint="eastAsia" w:ascii="仿宋" w:hAnsi="仿宋" w:eastAsia="仿宋" w:cs="仿宋"/>
                <w:color w:val="auto"/>
                <w:sz w:val="21"/>
                <w:highlight w:val="none"/>
              </w:rPr>
            </w:pPr>
          </w:p>
        </w:tc>
        <w:tc>
          <w:tcPr>
            <w:tcW w:w="805" w:type="dxa"/>
            <w:vAlign w:val="top"/>
          </w:tcPr>
          <w:p w14:paraId="565A09E8">
            <w:pPr>
              <w:rPr>
                <w:rFonts w:hint="eastAsia" w:ascii="仿宋" w:hAnsi="仿宋" w:eastAsia="仿宋" w:cs="仿宋"/>
                <w:color w:val="auto"/>
                <w:sz w:val="21"/>
                <w:highlight w:val="none"/>
              </w:rPr>
            </w:pPr>
          </w:p>
        </w:tc>
      </w:tr>
      <w:tr w14:paraId="34147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3F8C286D">
            <w:pPr>
              <w:rPr>
                <w:rFonts w:hint="eastAsia" w:ascii="仿宋" w:hAnsi="仿宋" w:eastAsia="仿宋" w:cs="仿宋"/>
                <w:color w:val="auto"/>
                <w:sz w:val="21"/>
                <w:highlight w:val="none"/>
              </w:rPr>
            </w:pPr>
          </w:p>
        </w:tc>
        <w:tc>
          <w:tcPr>
            <w:tcW w:w="1983" w:type="dxa"/>
            <w:vAlign w:val="top"/>
          </w:tcPr>
          <w:p w14:paraId="3C962A8D">
            <w:pPr>
              <w:rPr>
                <w:rFonts w:hint="eastAsia" w:ascii="仿宋" w:hAnsi="仿宋" w:eastAsia="仿宋" w:cs="仿宋"/>
                <w:color w:val="auto"/>
                <w:sz w:val="21"/>
                <w:highlight w:val="none"/>
              </w:rPr>
            </w:pPr>
          </w:p>
        </w:tc>
        <w:tc>
          <w:tcPr>
            <w:tcW w:w="2644" w:type="dxa"/>
            <w:vAlign w:val="top"/>
          </w:tcPr>
          <w:p w14:paraId="4C5CCE1E">
            <w:pPr>
              <w:rPr>
                <w:rFonts w:hint="eastAsia" w:ascii="仿宋" w:hAnsi="仿宋" w:eastAsia="仿宋" w:cs="仿宋"/>
                <w:color w:val="auto"/>
                <w:sz w:val="21"/>
                <w:highlight w:val="none"/>
              </w:rPr>
            </w:pPr>
          </w:p>
        </w:tc>
        <w:tc>
          <w:tcPr>
            <w:tcW w:w="2517" w:type="dxa"/>
            <w:vAlign w:val="top"/>
          </w:tcPr>
          <w:p w14:paraId="514DE94C">
            <w:pPr>
              <w:rPr>
                <w:rFonts w:hint="eastAsia" w:ascii="仿宋" w:hAnsi="仿宋" w:eastAsia="仿宋" w:cs="仿宋"/>
                <w:color w:val="auto"/>
                <w:sz w:val="21"/>
                <w:highlight w:val="none"/>
              </w:rPr>
            </w:pPr>
          </w:p>
        </w:tc>
        <w:tc>
          <w:tcPr>
            <w:tcW w:w="805" w:type="dxa"/>
            <w:vAlign w:val="top"/>
          </w:tcPr>
          <w:p w14:paraId="7FF352C9">
            <w:pPr>
              <w:rPr>
                <w:rFonts w:hint="eastAsia" w:ascii="仿宋" w:hAnsi="仿宋" w:eastAsia="仿宋" w:cs="仿宋"/>
                <w:color w:val="auto"/>
                <w:sz w:val="21"/>
                <w:highlight w:val="none"/>
              </w:rPr>
            </w:pPr>
          </w:p>
        </w:tc>
      </w:tr>
      <w:tr w14:paraId="77489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5FC2C1BB">
            <w:pPr>
              <w:rPr>
                <w:rFonts w:hint="eastAsia" w:ascii="仿宋" w:hAnsi="仿宋" w:eastAsia="仿宋" w:cs="仿宋"/>
                <w:color w:val="auto"/>
                <w:sz w:val="21"/>
                <w:highlight w:val="none"/>
              </w:rPr>
            </w:pPr>
          </w:p>
        </w:tc>
        <w:tc>
          <w:tcPr>
            <w:tcW w:w="1983" w:type="dxa"/>
            <w:vAlign w:val="top"/>
          </w:tcPr>
          <w:p w14:paraId="1403C604">
            <w:pPr>
              <w:rPr>
                <w:rFonts w:hint="eastAsia" w:ascii="仿宋" w:hAnsi="仿宋" w:eastAsia="仿宋" w:cs="仿宋"/>
                <w:color w:val="auto"/>
                <w:sz w:val="21"/>
                <w:highlight w:val="none"/>
              </w:rPr>
            </w:pPr>
          </w:p>
        </w:tc>
        <w:tc>
          <w:tcPr>
            <w:tcW w:w="2644" w:type="dxa"/>
            <w:vAlign w:val="top"/>
          </w:tcPr>
          <w:p w14:paraId="78AEE56D">
            <w:pPr>
              <w:rPr>
                <w:rFonts w:hint="eastAsia" w:ascii="仿宋" w:hAnsi="仿宋" w:eastAsia="仿宋" w:cs="仿宋"/>
                <w:color w:val="auto"/>
                <w:sz w:val="21"/>
                <w:highlight w:val="none"/>
              </w:rPr>
            </w:pPr>
          </w:p>
        </w:tc>
        <w:tc>
          <w:tcPr>
            <w:tcW w:w="2517" w:type="dxa"/>
            <w:vAlign w:val="top"/>
          </w:tcPr>
          <w:p w14:paraId="48106840">
            <w:pPr>
              <w:rPr>
                <w:rFonts w:hint="eastAsia" w:ascii="仿宋" w:hAnsi="仿宋" w:eastAsia="仿宋" w:cs="仿宋"/>
                <w:color w:val="auto"/>
                <w:sz w:val="21"/>
                <w:highlight w:val="none"/>
              </w:rPr>
            </w:pPr>
          </w:p>
        </w:tc>
        <w:tc>
          <w:tcPr>
            <w:tcW w:w="805" w:type="dxa"/>
            <w:vAlign w:val="top"/>
          </w:tcPr>
          <w:p w14:paraId="09986C86">
            <w:pPr>
              <w:rPr>
                <w:rFonts w:hint="eastAsia" w:ascii="仿宋" w:hAnsi="仿宋" w:eastAsia="仿宋" w:cs="仿宋"/>
                <w:color w:val="auto"/>
                <w:sz w:val="21"/>
                <w:highlight w:val="none"/>
              </w:rPr>
            </w:pPr>
          </w:p>
        </w:tc>
      </w:tr>
      <w:tr w14:paraId="0D804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6DCA571F">
            <w:pPr>
              <w:rPr>
                <w:rFonts w:hint="eastAsia" w:ascii="仿宋" w:hAnsi="仿宋" w:eastAsia="仿宋" w:cs="仿宋"/>
                <w:color w:val="auto"/>
                <w:sz w:val="21"/>
                <w:highlight w:val="none"/>
              </w:rPr>
            </w:pPr>
          </w:p>
        </w:tc>
        <w:tc>
          <w:tcPr>
            <w:tcW w:w="1983" w:type="dxa"/>
            <w:vAlign w:val="top"/>
          </w:tcPr>
          <w:p w14:paraId="1FEFC0F6">
            <w:pPr>
              <w:rPr>
                <w:rFonts w:hint="eastAsia" w:ascii="仿宋" w:hAnsi="仿宋" w:eastAsia="仿宋" w:cs="仿宋"/>
                <w:color w:val="auto"/>
                <w:sz w:val="21"/>
                <w:highlight w:val="none"/>
              </w:rPr>
            </w:pPr>
          </w:p>
        </w:tc>
        <w:tc>
          <w:tcPr>
            <w:tcW w:w="2644" w:type="dxa"/>
            <w:vAlign w:val="top"/>
          </w:tcPr>
          <w:p w14:paraId="69EDDD67">
            <w:pPr>
              <w:rPr>
                <w:rFonts w:hint="eastAsia" w:ascii="仿宋" w:hAnsi="仿宋" w:eastAsia="仿宋" w:cs="仿宋"/>
                <w:color w:val="auto"/>
                <w:sz w:val="21"/>
                <w:highlight w:val="none"/>
              </w:rPr>
            </w:pPr>
          </w:p>
        </w:tc>
        <w:tc>
          <w:tcPr>
            <w:tcW w:w="2517" w:type="dxa"/>
            <w:vAlign w:val="top"/>
          </w:tcPr>
          <w:p w14:paraId="33DD91E6">
            <w:pPr>
              <w:rPr>
                <w:rFonts w:hint="eastAsia" w:ascii="仿宋" w:hAnsi="仿宋" w:eastAsia="仿宋" w:cs="仿宋"/>
                <w:color w:val="auto"/>
                <w:sz w:val="21"/>
                <w:highlight w:val="none"/>
              </w:rPr>
            </w:pPr>
          </w:p>
        </w:tc>
        <w:tc>
          <w:tcPr>
            <w:tcW w:w="805" w:type="dxa"/>
            <w:vAlign w:val="top"/>
          </w:tcPr>
          <w:p w14:paraId="5AF9EE84">
            <w:pPr>
              <w:rPr>
                <w:rFonts w:hint="eastAsia" w:ascii="仿宋" w:hAnsi="仿宋" w:eastAsia="仿宋" w:cs="仿宋"/>
                <w:color w:val="auto"/>
                <w:sz w:val="21"/>
                <w:highlight w:val="none"/>
              </w:rPr>
            </w:pPr>
          </w:p>
        </w:tc>
      </w:tr>
      <w:tr w14:paraId="55CA0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618262DC">
            <w:pPr>
              <w:rPr>
                <w:rFonts w:hint="eastAsia" w:ascii="仿宋" w:hAnsi="仿宋" w:eastAsia="仿宋" w:cs="仿宋"/>
                <w:color w:val="auto"/>
                <w:sz w:val="21"/>
                <w:highlight w:val="none"/>
              </w:rPr>
            </w:pPr>
          </w:p>
        </w:tc>
        <w:tc>
          <w:tcPr>
            <w:tcW w:w="1983" w:type="dxa"/>
            <w:vAlign w:val="top"/>
          </w:tcPr>
          <w:p w14:paraId="2F5FFD19">
            <w:pPr>
              <w:rPr>
                <w:rFonts w:hint="eastAsia" w:ascii="仿宋" w:hAnsi="仿宋" w:eastAsia="仿宋" w:cs="仿宋"/>
                <w:color w:val="auto"/>
                <w:sz w:val="21"/>
                <w:highlight w:val="none"/>
              </w:rPr>
            </w:pPr>
          </w:p>
        </w:tc>
        <w:tc>
          <w:tcPr>
            <w:tcW w:w="2644" w:type="dxa"/>
            <w:vAlign w:val="top"/>
          </w:tcPr>
          <w:p w14:paraId="5D93A281">
            <w:pPr>
              <w:rPr>
                <w:rFonts w:hint="eastAsia" w:ascii="仿宋" w:hAnsi="仿宋" w:eastAsia="仿宋" w:cs="仿宋"/>
                <w:color w:val="auto"/>
                <w:sz w:val="21"/>
                <w:highlight w:val="none"/>
              </w:rPr>
            </w:pPr>
          </w:p>
        </w:tc>
        <w:tc>
          <w:tcPr>
            <w:tcW w:w="2517" w:type="dxa"/>
            <w:vAlign w:val="top"/>
          </w:tcPr>
          <w:p w14:paraId="0854E250">
            <w:pPr>
              <w:rPr>
                <w:rFonts w:hint="eastAsia" w:ascii="仿宋" w:hAnsi="仿宋" w:eastAsia="仿宋" w:cs="仿宋"/>
                <w:color w:val="auto"/>
                <w:sz w:val="21"/>
                <w:highlight w:val="none"/>
              </w:rPr>
            </w:pPr>
          </w:p>
        </w:tc>
        <w:tc>
          <w:tcPr>
            <w:tcW w:w="805" w:type="dxa"/>
            <w:vAlign w:val="top"/>
          </w:tcPr>
          <w:p w14:paraId="7EC9633A">
            <w:pPr>
              <w:rPr>
                <w:rFonts w:hint="eastAsia" w:ascii="仿宋" w:hAnsi="仿宋" w:eastAsia="仿宋" w:cs="仿宋"/>
                <w:color w:val="auto"/>
                <w:sz w:val="21"/>
                <w:highlight w:val="none"/>
              </w:rPr>
            </w:pPr>
          </w:p>
        </w:tc>
      </w:tr>
      <w:tr w14:paraId="574A1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25036BAA">
            <w:pPr>
              <w:rPr>
                <w:rFonts w:hint="eastAsia" w:ascii="仿宋" w:hAnsi="仿宋" w:eastAsia="仿宋" w:cs="仿宋"/>
                <w:color w:val="auto"/>
                <w:sz w:val="21"/>
                <w:highlight w:val="none"/>
              </w:rPr>
            </w:pPr>
          </w:p>
        </w:tc>
        <w:tc>
          <w:tcPr>
            <w:tcW w:w="1983" w:type="dxa"/>
            <w:vAlign w:val="top"/>
          </w:tcPr>
          <w:p w14:paraId="0F2437FE">
            <w:pPr>
              <w:rPr>
                <w:rFonts w:hint="eastAsia" w:ascii="仿宋" w:hAnsi="仿宋" w:eastAsia="仿宋" w:cs="仿宋"/>
                <w:color w:val="auto"/>
                <w:sz w:val="21"/>
                <w:highlight w:val="none"/>
              </w:rPr>
            </w:pPr>
          </w:p>
        </w:tc>
        <w:tc>
          <w:tcPr>
            <w:tcW w:w="2644" w:type="dxa"/>
            <w:vAlign w:val="top"/>
          </w:tcPr>
          <w:p w14:paraId="4634C82B">
            <w:pPr>
              <w:rPr>
                <w:rFonts w:hint="eastAsia" w:ascii="仿宋" w:hAnsi="仿宋" w:eastAsia="仿宋" w:cs="仿宋"/>
                <w:color w:val="auto"/>
                <w:sz w:val="21"/>
                <w:highlight w:val="none"/>
              </w:rPr>
            </w:pPr>
          </w:p>
        </w:tc>
        <w:tc>
          <w:tcPr>
            <w:tcW w:w="2517" w:type="dxa"/>
            <w:vAlign w:val="top"/>
          </w:tcPr>
          <w:p w14:paraId="713A290E">
            <w:pPr>
              <w:rPr>
                <w:rFonts w:hint="eastAsia" w:ascii="仿宋" w:hAnsi="仿宋" w:eastAsia="仿宋" w:cs="仿宋"/>
                <w:color w:val="auto"/>
                <w:sz w:val="21"/>
                <w:highlight w:val="none"/>
              </w:rPr>
            </w:pPr>
          </w:p>
        </w:tc>
        <w:tc>
          <w:tcPr>
            <w:tcW w:w="805" w:type="dxa"/>
            <w:vAlign w:val="top"/>
          </w:tcPr>
          <w:p w14:paraId="0CE03C6F">
            <w:pPr>
              <w:rPr>
                <w:rFonts w:hint="eastAsia" w:ascii="仿宋" w:hAnsi="仿宋" w:eastAsia="仿宋" w:cs="仿宋"/>
                <w:color w:val="auto"/>
                <w:sz w:val="21"/>
                <w:highlight w:val="none"/>
              </w:rPr>
            </w:pPr>
          </w:p>
        </w:tc>
      </w:tr>
      <w:tr w14:paraId="19636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2C6D53A3">
            <w:pPr>
              <w:rPr>
                <w:rFonts w:hint="eastAsia" w:ascii="仿宋" w:hAnsi="仿宋" w:eastAsia="仿宋" w:cs="仿宋"/>
                <w:color w:val="auto"/>
                <w:sz w:val="21"/>
                <w:highlight w:val="none"/>
              </w:rPr>
            </w:pPr>
          </w:p>
        </w:tc>
        <w:tc>
          <w:tcPr>
            <w:tcW w:w="1983" w:type="dxa"/>
            <w:vAlign w:val="top"/>
          </w:tcPr>
          <w:p w14:paraId="48C184D1">
            <w:pPr>
              <w:rPr>
                <w:rFonts w:hint="eastAsia" w:ascii="仿宋" w:hAnsi="仿宋" w:eastAsia="仿宋" w:cs="仿宋"/>
                <w:color w:val="auto"/>
                <w:sz w:val="21"/>
                <w:highlight w:val="none"/>
              </w:rPr>
            </w:pPr>
          </w:p>
        </w:tc>
        <w:tc>
          <w:tcPr>
            <w:tcW w:w="2644" w:type="dxa"/>
            <w:vAlign w:val="top"/>
          </w:tcPr>
          <w:p w14:paraId="0736EB09">
            <w:pPr>
              <w:rPr>
                <w:rFonts w:hint="eastAsia" w:ascii="仿宋" w:hAnsi="仿宋" w:eastAsia="仿宋" w:cs="仿宋"/>
                <w:color w:val="auto"/>
                <w:sz w:val="21"/>
                <w:highlight w:val="none"/>
              </w:rPr>
            </w:pPr>
          </w:p>
        </w:tc>
        <w:tc>
          <w:tcPr>
            <w:tcW w:w="2517" w:type="dxa"/>
            <w:vAlign w:val="top"/>
          </w:tcPr>
          <w:p w14:paraId="74E9D808">
            <w:pPr>
              <w:rPr>
                <w:rFonts w:hint="eastAsia" w:ascii="仿宋" w:hAnsi="仿宋" w:eastAsia="仿宋" w:cs="仿宋"/>
                <w:color w:val="auto"/>
                <w:sz w:val="21"/>
                <w:highlight w:val="none"/>
              </w:rPr>
            </w:pPr>
          </w:p>
        </w:tc>
        <w:tc>
          <w:tcPr>
            <w:tcW w:w="805" w:type="dxa"/>
            <w:vAlign w:val="top"/>
          </w:tcPr>
          <w:p w14:paraId="27E5ED74">
            <w:pPr>
              <w:rPr>
                <w:rFonts w:hint="eastAsia" w:ascii="仿宋" w:hAnsi="仿宋" w:eastAsia="仿宋" w:cs="仿宋"/>
                <w:color w:val="auto"/>
                <w:sz w:val="21"/>
                <w:highlight w:val="none"/>
              </w:rPr>
            </w:pPr>
          </w:p>
        </w:tc>
      </w:tr>
      <w:tr w14:paraId="1635A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1F98ABB6">
            <w:pPr>
              <w:rPr>
                <w:rFonts w:hint="eastAsia" w:ascii="仿宋" w:hAnsi="仿宋" w:eastAsia="仿宋" w:cs="仿宋"/>
                <w:color w:val="auto"/>
                <w:sz w:val="21"/>
                <w:highlight w:val="none"/>
              </w:rPr>
            </w:pPr>
          </w:p>
        </w:tc>
        <w:tc>
          <w:tcPr>
            <w:tcW w:w="1983" w:type="dxa"/>
            <w:vAlign w:val="top"/>
          </w:tcPr>
          <w:p w14:paraId="2CC73D4A">
            <w:pPr>
              <w:rPr>
                <w:rFonts w:hint="eastAsia" w:ascii="仿宋" w:hAnsi="仿宋" w:eastAsia="仿宋" w:cs="仿宋"/>
                <w:color w:val="auto"/>
                <w:sz w:val="21"/>
                <w:highlight w:val="none"/>
              </w:rPr>
            </w:pPr>
          </w:p>
        </w:tc>
        <w:tc>
          <w:tcPr>
            <w:tcW w:w="2644" w:type="dxa"/>
            <w:vAlign w:val="top"/>
          </w:tcPr>
          <w:p w14:paraId="342EDF8E">
            <w:pPr>
              <w:rPr>
                <w:rFonts w:hint="eastAsia" w:ascii="仿宋" w:hAnsi="仿宋" w:eastAsia="仿宋" w:cs="仿宋"/>
                <w:color w:val="auto"/>
                <w:sz w:val="21"/>
                <w:highlight w:val="none"/>
              </w:rPr>
            </w:pPr>
          </w:p>
        </w:tc>
        <w:tc>
          <w:tcPr>
            <w:tcW w:w="2517" w:type="dxa"/>
            <w:vAlign w:val="top"/>
          </w:tcPr>
          <w:p w14:paraId="6861D995">
            <w:pPr>
              <w:rPr>
                <w:rFonts w:hint="eastAsia" w:ascii="仿宋" w:hAnsi="仿宋" w:eastAsia="仿宋" w:cs="仿宋"/>
                <w:color w:val="auto"/>
                <w:sz w:val="21"/>
                <w:highlight w:val="none"/>
              </w:rPr>
            </w:pPr>
          </w:p>
        </w:tc>
        <w:tc>
          <w:tcPr>
            <w:tcW w:w="805" w:type="dxa"/>
            <w:vAlign w:val="top"/>
          </w:tcPr>
          <w:p w14:paraId="41AFF4E1">
            <w:pPr>
              <w:rPr>
                <w:rFonts w:hint="eastAsia" w:ascii="仿宋" w:hAnsi="仿宋" w:eastAsia="仿宋" w:cs="仿宋"/>
                <w:color w:val="auto"/>
                <w:sz w:val="21"/>
                <w:highlight w:val="none"/>
              </w:rPr>
            </w:pPr>
          </w:p>
        </w:tc>
      </w:tr>
      <w:tr w14:paraId="1DDA5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02685A42">
            <w:pPr>
              <w:rPr>
                <w:rFonts w:hint="eastAsia" w:ascii="仿宋" w:hAnsi="仿宋" w:eastAsia="仿宋" w:cs="仿宋"/>
                <w:color w:val="auto"/>
                <w:sz w:val="21"/>
                <w:highlight w:val="none"/>
              </w:rPr>
            </w:pPr>
          </w:p>
        </w:tc>
        <w:tc>
          <w:tcPr>
            <w:tcW w:w="1983" w:type="dxa"/>
            <w:vAlign w:val="top"/>
          </w:tcPr>
          <w:p w14:paraId="5C97154B">
            <w:pPr>
              <w:rPr>
                <w:rFonts w:hint="eastAsia" w:ascii="仿宋" w:hAnsi="仿宋" w:eastAsia="仿宋" w:cs="仿宋"/>
                <w:color w:val="auto"/>
                <w:sz w:val="21"/>
                <w:highlight w:val="none"/>
              </w:rPr>
            </w:pPr>
          </w:p>
        </w:tc>
        <w:tc>
          <w:tcPr>
            <w:tcW w:w="2644" w:type="dxa"/>
            <w:vAlign w:val="top"/>
          </w:tcPr>
          <w:p w14:paraId="07781C50">
            <w:pPr>
              <w:rPr>
                <w:rFonts w:hint="eastAsia" w:ascii="仿宋" w:hAnsi="仿宋" w:eastAsia="仿宋" w:cs="仿宋"/>
                <w:color w:val="auto"/>
                <w:sz w:val="21"/>
                <w:highlight w:val="none"/>
              </w:rPr>
            </w:pPr>
          </w:p>
        </w:tc>
        <w:tc>
          <w:tcPr>
            <w:tcW w:w="2517" w:type="dxa"/>
            <w:vAlign w:val="top"/>
          </w:tcPr>
          <w:p w14:paraId="637B2899">
            <w:pPr>
              <w:rPr>
                <w:rFonts w:hint="eastAsia" w:ascii="仿宋" w:hAnsi="仿宋" w:eastAsia="仿宋" w:cs="仿宋"/>
                <w:color w:val="auto"/>
                <w:sz w:val="21"/>
                <w:highlight w:val="none"/>
              </w:rPr>
            </w:pPr>
          </w:p>
        </w:tc>
        <w:tc>
          <w:tcPr>
            <w:tcW w:w="805" w:type="dxa"/>
            <w:vAlign w:val="top"/>
          </w:tcPr>
          <w:p w14:paraId="6C7A8864">
            <w:pPr>
              <w:rPr>
                <w:rFonts w:hint="eastAsia" w:ascii="仿宋" w:hAnsi="仿宋" w:eastAsia="仿宋" w:cs="仿宋"/>
                <w:color w:val="auto"/>
                <w:sz w:val="21"/>
                <w:highlight w:val="none"/>
              </w:rPr>
            </w:pPr>
          </w:p>
        </w:tc>
      </w:tr>
      <w:tr w14:paraId="28C87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66C99C7E">
            <w:pPr>
              <w:rPr>
                <w:rFonts w:hint="eastAsia" w:ascii="仿宋" w:hAnsi="仿宋" w:eastAsia="仿宋" w:cs="仿宋"/>
                <w:color w:val="auto"/>
                <w:sz w:val="21"/>
                <w:highlight w:val="none"/>
              </w:rPr>
            </w:pPr>
          </w:p>
        </w:tc>
        <w:tc>
          <w:tcPr>
            <w:tcW w:w="1983" w:type="dxa"/>
            <w:vAlign w:val="top"/>
          </w:tcPr>
          <w:p w14:paraId="1CB8D80D">
            <w:pPr>
              <w:rPr>
                <w:rFonts w:hint="eastAsia" w:ascii="仿宋" w:hAnsi="仿宋" w:eastAsia="仿宋" w:cs="仿宋"/>
                <w:color w:val="auto"/>
                <w:sz w:val="21"/>
                <w:highlight w:val="none"/>
              </w:rPr>
            </w:pPr>
          </w:p>
        </w:tc>
        <w:tc>
          <w:tcPr>
            <w:tcW w:w="2644" w:type="dxa"/>
            <w:vAlign w:val="top"/>
          </w:tcPr>
          <w:p w14:paraId="4FEC8CCA">
            <w:pPr>
              <w:rPr>
                <w:rFonts w:hint="eastAsia" w:ascii="仿宋" w:hAnsi="仿宋" w:eastAsia="仿宋" w:cs="仿宋"/>
                <w:color w:val="auto"/>
                <w:sz w:val="21"/>
                <w:highlight w:val="none"/>
              </w:rPr>
            </w:pPr>
          </w:p>
        </w:tc>
        <w:tc>
          <w:tcPr>
            <w:tcW w:w="2517" w:type="dxa"/>
            <w:vAlign w:val="top"/>
          </w:tcPr>
          <w:p w14:paraId="743025A1">
            <w:pPr>
              <w:rPr>
                <w:rFonts w:hint="eastAsia" w:ascii="仿宋" w:hAnsi="仿宋" w:eastAsia="仿宋" w:cs="仿宋"/>
                <w:color w:val="auto"/>
                <w:sz w:val="21"/>
                <w:highlight w:val="none"/>
              </w:rPr>
            </w:pPr>
          </w:p>
        </w:tc>
        <w:tc>
          <w:tcPr>
            <w:tcW w:w="805" w:type="dxa"/>
            <w:vAlign w:val="top"/>
          </w:tcPr>
          <w:p w14:paraId="086887F9">
            <w:pPr>
              <w:rPr>
                <w:rFonts w:hint="eastAsia" w:ascii="仿宋" w:hAnsi="仿宋" w:eastAsia="仿宋" w:cs="仿宋"/>
                <w:color w:val="auto"/>
                <w:sz w:val="21"/>
                <w:highlight w:val="none"/>
              </w:rPr>
            </w:pPr>
          </w:p>
        </w:tc>
      </w:tr>
      <w:tr w14:paraId="5BC62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53ED0E81">
            <w:pPr>
              <w:rPr>
                <w:rFonts w:hint="eastAsia" w:ascii="仿宋" w:hAnsi="仿宋" w:eastAsia="仿宋" w:cs="仿宋"/>
                <w:color w:val="auto"/>
                <w:sz w:val="21"/>
                <w:highlight w:val="none"/>
              </w:rPr>
            </w:pPr>
          </w:p>
        </w:tc>
        <w:tc>
          <w:tcPr>
            <w:tcW w:w="1983" w:type="dxa"/>
            <w:vAlign w:val="top"/>
          </w:tcPr>
          <w:p w14:paraId="103B0EDC">
            <w:pPr>
              <w:rPr>
                <w:rFonts w:hint="eastAsia" w:ascii="仿宋" w:hAnsi="仿宋" w:eastAsia="仿宋" w:cs="仿宋"/>
                <w:color w:val="auto"/>
                <w:sz w:val="21"/>
                <w:highlight w:val="none"/>
              </w:rPr>
            </w:pPr>
          </w:p>
        </w:tc>
        <w:tc>
          <w:tcPr>
            <w:tcW w:w="2644" w:type="dxa"/>
            <w:vAlign w:val="top"/>
          </w:tcPr>
          <w:p w14:paraId="109A0DAC">
            <w:pPr>
              <w:rPr>
                <w:rFonts w:hint="eastAsia" w:ascii="仿宋" w:hAnsi="仿宋" w:eastAsia="仿宋" w:cs="仿宋"/>
                <w:color w:val="auto"/>
                <w:sz w:val="21"/>
                <w:highlight w:val="none"/>
              </w:rPr>
            </w:pPr>
          </w:p>
        </w:tc>
        <w:tc>
          <w:tcPr>
            <w:tcW w:w="2517" w:type="dxa"/>
            <w:vAlign w:val="top"/>
          </w:tcPr>
          <w:p w14:paraId="3CE92316">
            <w:pPr>
              <w:rPr>
                <w:rFonts w:hint="eastAsia" w:ascii="仿宋" w:hAnsi="仿宋" w:eastAsia="仿宋" w:cs="仿宋"/>
                <w:color w:val="auto"/>
                <w:sz w:val="21"/>
                <w:highlight w:val="none"/>
              </w:rPr>
            </w:pPr>
          </w:p>
        </w:tc>
        <w:tc>
          <w:tcPr>
            <w:tcW w:w="805" w:type="dxa"/>
            <w:vAlign w:val="top"/>
          </w:tcPr>
          <w:p w14:paraId="5705BEA7">
            <w:pPr>
              <w:rPr>
                <w:rFonts w:hint="eastAsia" w:ascii="仿宋" w:hAnsi="仿宋" w:eastAsia="仿宋" w:cs="仿宋"/>
                <w:color w:val="auto"/>
                <w:sz w:val="21"/>
                <w:highlight w:val="none"/>
              </w:rPr>
            </w:pPr>
          </w:p>
        </w:tc>
      </w:tr>
      <w:tr w14:paraId="2314E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66A7804F">
            <w:pPr>
              <w:rPr>
                <w:rFonts w:hint="eastAsia" w:ascii="仿宋" w:hAnsi="仿宋" w:eastAsia="仿宋" w:cs="仿宋"/>
                <w:color w:val="auto"/>
                <w:sz w:val="21"/>
                <w:highlight w:val="none"/>
              </w:rPr>
            </w:pPr>
          </w:p>
        </w:tc>
        <w:tc>
          <w:tcPr>
            <w:tcW w:w="1983" w:type="dxa"/>
            <w:vAlign w:val="top"/>
          </w:tcPr>
          <w:p w14:paraId="4D553932">
            <w:pPr>
              <w:rPr>
                <w:rFonts w:hint="eastAsia" w:ascii="仿宋" w:hAnsi="仿宋" w:eastAsia="仿宋" w:cs="仿宋"/>
                <w:color w:val="auto"/>
                <w:sz w:val="21"/>
                <w:highlight w:val="none"/>
              </w:rPr>
            </w:pPr>
          </w:p>
        </w:tc>
        <w:tc>
          <w:tcPr>
            <w:tcW w:w="2644" w:type="dxa"/>
            <w:vAlign w:val="top"/>
          </w:tcPr>
          <w:p w14:paraId="49E336D0">
            <w:pPr>
              <w:rPr>
                <w:rFonts w:hint="eastAsia" w:ascii="仿宋" w:hAnsi="仿宋" w:eastAsia="仿宋" w:cs="仿宋"/>
                <w:color w:val="auto"/>
                <w:sz w:val="21"/>
                <w:highlight w:val="none"/>
              </w:rPr>
            </w:pPr>
          </w:p>
        </w:tc>
        <w:tc>
          <w:tcPr>
            <w:tcW w:w="2517" w:type="dxa"/>
            <w:vAlign w:val="top"/>
          </w:tcPr>
          <w:p w14:paraId="32132BB7">
            <w:pPr>
              <w:rPr>
                <w:rFonts w:hint="eastAsia" w:ascii="仿宋" w:hAnsi="仿宋" w:eastAsia="仿宋" w:cs="仿宋"/>
                <w:color w:val="auto"/>
                <w:sz w:val="21"/>
                <w:highlight w:val="none"/>
              </w:rPr>
            </w:pPr>
          </w:p>
        </w:tc>
        <w:tc>
          <w:tcPr>
            <w:tcW w:w="805" w:type="dxa"/>
            <w:vAlign w:val="top"/>
          </w:tcPr>
          <w:p w14:paraId="458CDA46">
            <w:pPr>
              <w:rPr>
                <w:rFonts w:hint="eastAsia" w:ascii="仿宋" w:hAnsi="仿宋" w:eastAsia="仿宋" w:cs="仿宋"/>
                <w:color w:val="auto"/>
                <w:sz w:val="21"/>
                <w:highlight w:val="none"/>
              </w:rPr>
            </w:pPr>
          </w:p>
        </w:tc>
      </w:tr>
    </w:tbl>
    <w:p w14:paraId="365EB85A">
      <w:pPr>
        <w:pStyle w:val="4"/>
        <w:spacing w:line="438" w:lineRule="auto"/>
        <w:rPr>
          <w:rFonts w:hint="eastAsia" w:ascii="仿宋" w:hAnsi="仿宋" w:eastAsia="仿宋" w:cs="仿宋"/>
          <w:color w:val="auto"/>
          <w:highlight w:val="none"/>
        </w:rPr>
      </w:pPr>
    </w:p>
    <w:p w14:paraId="7D4A5D18">
      <w:pPr>
        <w:spacing w:before="75" w:line="227" w:lineRule="auto"/>
        <w:ind w:left="617"/>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供应商(盖公章):</w:t>
      </w:r>
      <w:r>
        <w:rPr>
          <w:rFonts w:hint="eastAsia" w:ascii="仿宋" w:hAnsi="仿宋" w:eastAsia="仿宋" w:cs="仿宋"/>
          <w:color w:val="auto"/>
          <w:spacing w:val="4"/>
          <w:sz w:val="23"/>
          <w:szCs w:val="23"/>
          <w:highlight w:val="none"/>
          <w:u w:val="single" w:color="auto"/>
        </w:rPr>
        <w:t xml:space="preserve">           </w:t>
      </w:r>
      <w:r>
        <w:rPr>
          <w:rFonts w:hint="eastAsia" w:ascii="仿宋" w:hAnsi="仿宋" w:eastAsia="仿宋" w:cs="仿宋"/>
          <w:color w:val="auto"/>
          <w:spacing w:val="3"/>
          <w:sz w:val="23"/>
          <w:szCs w:val="23"/>
          <w:highlight w:val="none"/>
          <w:u w:val="single" w:color="auto"/>
        </w:rPr>
        <w:t xml:space="preserve">              </w:t>
      </w:r>
    </w:p>
    <w:p w14:paraId="3BAB0D08">
      <w:pPr>
        <w:spacing w:before="147" w:line="192" w:lineRule="auto"/>
        <w:ind w:left="424"/>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rPr>
        <w:t>法定代表人或委托代理人（签字或签章）</w:t>
      </w:r>
      <w:r>
        <w:rPr>
          <w:rFonts w:hint="eastAsia" w:ascii="仿宋" w:hAnsi="仿宋" w:eastAsia="仿宋" w:cs="仿宋"/>
          <w:color w:val="auto"/>
          <w:spacing w:val="-54"/>
          <w:sz w:val="23"/>
          <w:szCs w:val="23"/>
          <w:highlight w:val="none"/>
        </w:rPr>
        <w:t xml:space="preserve"> </w:t>
      </w:r>
      <w:r>
        <w:rPr>
          <w:rFonts w:hint="eastAsia" w:ascii="仿宋" w:hAnsi="仿宋" w:eastAsia="仿宋" w:cs="仿宋"/>
          <w:color w:val="auto"/>
          <w:spacing w:val="4"/>
          <w:sz w:val="23"/>
          <w:szCs w:val="23"/>
          <w:highlight w:val="none"/>
        </w:rPr>
        <w:t>:</w:t>
      </w:r>
      <w:r>
        <w:rPr>
          <w:rFonts w:hint="eastAsia" w:ascii="仿宋" w:hAnsi="仿宋" w:eastAsia="仿宋" w:cs="仿宋"/>
          <w:color w:val="auto"/>
          <w:sz w:val="23"/>
          <w:szCs w:val="23"/>
          <w:highlight w:val="none"/>
          <w:u w:val="single" w:color="auto"/>
        </w:rPr>
        <w:t xml:space="preserve">                    </w:t>
      </w:r>
    </w:p>
    <w:p w14:paraId="3CD59F1C">
      <w:pPr>
        <w:spacing w:line="192" w:lineRule="auto"/>
        <w:rPr>
          <w:rFonts w:hint="eastAsia" w:ascii="仿宋" w:hAnsi="仿宋" w:eastAsia="仿宋" w:cs="仿宋"/>
          <w:color w:val="auto"/>
          <w:sz w:val="23"/>
          <w:szCs w:val="23"/>
          <w:highlight w:val="none"/>
        </w:rPr>
        <w:sectPr>
          <w:type w:val="continuous"/>
          <w:pgSz w:w="11905" w:h="16838"/>
          <w:pgMar w:top="1020" w:right="1134" w:bottom="1020" w:left="1134" w:header="0" w:footer="573" w:gutter="0"/>
          <w:pgNumType w:fmt="decimal"/>
          <w:cols w:space="0" w:num="1"/>
          <w:rtlGutter w:val="0"/>
          <w:docGrid w:linePitch="0" w:charSpace="0"/>
        </w:sectPr>
      </w:pPr>
    </w:p>
    <w:p w14:paraId="601DB9BC">
      <w:pPr>
        <w:spacing w:before="74" w:line="227" w:lineRule="auto"/>
        <w:ind w:left="245"/>
        <w:jc w:val="center"/>
        <w:outlineLvl w:val="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5 供应商所有技术文件</w:t>
      </w:r>
    </w:p>
    <w:p w14:paraId="1B50650B">
      <w:pPr>
        <w:spacing w:before="182" w:line="227" w:lineRule="auto"/>
        <w:ind w:left="485"/>
        <w:rPr>
          <w:rFonts w:hint="eastAsia" w:ascii="仿宋" w:hAnsi="仿宋" w:eastAsia="仿宋" w:cs="仿宋"/>
          <w:color w:val="auto"/>
          <w:sz w:val="23"/>
          <w:szCs w:val="23"/>
          <w:highlight w:val="none"/>
        </w:rPr>
      </w:pPr>
      <w:r>
        <w:rPr>
          <w:rFonts w:hint="eastAsia" w:ascii="仿宋" w:hAnsi="仿宋" w:eastAsia="仿宋" w:cs="仿宋"/>
          <w:color w:val="auto"/>
          <w:spacing w:val="7"/>
          <w:sz w:val="23"/>
          <w:szCs w:val="23"/>
          <w:highlight w:val="none"/>
        </w:rPr>
        <w:t>5.1、技术和商务文件由供应商自行编写，格式自拟。</w:t>
      </w:r>
    </w:p>
    <w:p w14:paraId="41597160">
      <w:pPr>
        <w:rPr>
          <w:rFonts w:hint="eastAsia" w:ascii="仿宋" w:hAnsi="仿宋" w:eastAsia="仿宋" w:cs="仿宋"/>
          <w:color w:val="auto"/>
          <w:highlight w:val="none"/>
        </w:rPr>
        <w:sectPr>
          <w:footerReference r:id="rId37" w:type="default"/>
          <w:pgSz w:w="11905" w:h="16838"/>
          <w:pgMar w:top="1020" w:right="1134" w:bottom="1020" w:left="1134" w:header="0" w:footer="573" w:gutter="0"/>
          <w:pgNumType w:fmt="decimal"/>
          <w:cols w:space="0" w:num="1"/>
          <w:rtlGutter w:val="0"/>
          <w:docGrid w:linePitch="0" w:charSpace="0"/>
        </w:sectPr>
      </w:pPr>
    </w:p>
    <w:p w14:paraId="10442296">
      <w:pPr>
        <w:pStyle w:val="4"/>
        <w:spacing w:line="346" w:lineRule="auto"/>
        <w:rPr>
          <w:rFonts w:hint="eastAsia" w:ascii="仿宋" w:hAnsi="仿宋" w:eastAsia="仿宋" w:cs="仿宋"/>
          <w:color w:val="auto"/>
          <w:highlight w:val="none"/>
        </w:rPr>
      </w:pPr>
    </w:p>
    <w:p w14:paraId="5B3ADB1F">
      <w:pPr>
        <w:spacing w:before="75" w:line="360" w:lineRule="auto"/>
        <w:ind w:firstLine="480" w:firstLineChars="200"/>
        <w:rPr>
          <w:rFonts w:hint="eastAsia" w:ascii="仿宋" w:hAnsi="仿宋" w:eastAsia="仿宋" w:cs="仿宋"/>
          <w:color w:val="auto"/>
          <w:spacing w:val="5"/>
          <w:sz w:val="23"/>
          <w:szCs w:val="23"/>
          <w:highlight w:val="none"/>
          <w:lang w:eastAsia="zh-CN"/>
        </w:rPr>
      </w:pPr>
      <w:r>
        <w:rPr>
          <w:rFonts w:hint="eastAsia" w:ascii="仿宋" w:hAnsi="仿宋" w:eastAsia="仿宋" w:cs="仿宋"/>
          <w:color w:val="auto"/>
          <w:spacing w:val="5"/>
          <w:sz w:val="23"/>
          <w:szCs w:val="23"/>
          <w:highlight w:val="none"/>
        </w:rPr>
        <w:t>项目名称</w:t>
      </w:r>
      <w:r>
        <w:rPr>
          <w:rFonts w:hint="eastAsia" w:ascii="仿宋" w:hAnsi="仿宋" w:eastAsia="仿宋" w:cs="仿宋"/>
          <w:color w:val="auto"/>
          <w:spacing w:val="-65"/>
          <w:sz w:val="23"/>
          <w:szCs w:val="23"/>
          <w:highlight w:val="none"/>
          <w:lang w:eastAsia="zh-CN"/>
        </w:rPr>
        <w:t>：</w:t>
      </w:r>
    </w:p>
    <w:p w14:paraId="72B9DFEB">
      <w:pPr>
        <w:pStyle w:val="27"/>
        <w:spacing w:line="360" w:lineRule="auto"/>
        <w:ind w:firstLine="480" w:firstLineChars="200"/>
        <w:rPr>
          <w:rFonts w:hint="default" w:eastAsia="仿宋"/>
          <w:color w:val="auto"/>
          <w:highlight w:val="none"/>
          <w:lang w:val="en-US" w:eastAsia="zh-CN"/>
        </w:rPr>
      </w:pPr>
      <w:r>
        <w:rPr>
          <w:rFonts w:hint="eastAsia" w:ascii="仿宋" w:hAnsi="仿宋" w:eastAsia="仿宋" w:cs="仿宋"/>
          <w:color w:val="auto"/>
          <w:spacing w:val="5"/>
          <w:sz w:val="23"/>
          <w:szCs w:val="23"/>
          <w:highlight w:val="none"/>
          <w:lang w:val="en-US" w:eastAsia="zh-CN"/>
        </w:rPr>
        <w:t>项目编号：</w:t>
      </w:r>
    </w:p>
    <w:p w14:paraId="0B6E00B4">
      <w:pPr>
        <w:pStyle w:val="4"/>
        <w:spacing w:line="14" w:lineRule="auto"/>
        <w:rPr>
          <w:rFonts w:hint="eastAsia" w:ascii="仿宋" w:hAnsi="仿宋" w:eastAsia="仿宋" w:cs="仿宋"/>
          <w:color w:val="auto"/>
          <w:sz w:val="2"/>
          <w:szCs w:val="2"/>
          <w:highlight w:val="none"/>
        </w:rPr>
      </w:pPr>
      <w:r>
        <w:rPr>
          <w:rFonts w:hint="eastAsia" w:ascii="仿宋" w:hAnsi="仿宋" w:eastAsia="仿宋" w:cs="仿宋"/>
          <w:color w:val="auto"/>
          <w:sz w:val="2"/>
          <w:szCs w:val="2"/>
          <w:highlight w:val="none"/>
        </w:rPr>
        <w:br w:type="column"/>
      </w:r>
    </w:p>
    <w:p w14:paraId="2BA0274C">
      <w:pPr>
        <w:pStyle w:val="4"/>
        <w:spacing w:line="14" w:lineRule="auto"/>
        <w:rPr>
          <w:rFonts w:hint="eastAsia" w:ascii="仿宋" w:hAnsi="仿宋" w:eastAsia="仿宋" w:cs="仿宋"/>
          <w:color w:val="auto"/>
          <w:sz w:val="2"/>
          <w:szCs w:val="2"/>
          <w:highlight w:val="none"/>
        </w:rPr>
      </w:pPr>
    </w:p>
    <w:p w14:paraId="763E40F8">
      <w:pPr>
        <w:spacing w:before="46" w:line="235" w:lineRule="auto"/>
        <w:jc w:val="center"/>
        <w:rPr>
          <w:rFonts w:hint="eastAsia" w:ascii="仿宋" w:hAnsi="仿宋" w:eastAsia="仿宋" w:cs="仿宋"/>
          <w:color w:val="auto"/>
          <w:spacing w:val="5"/>
          <w:sz w:val="23"/>
          <w:szCs w:val="23"/>
          <w:highlight w:val="none"/>
        </w:rPr>
      </w:pPr>
      <w:r>
        <w:rPr>
          <w:rFonts w:hint="eastAsia" w:ascii="仿宋" w:hAnsi="仿宋" w:eastAsia="仿宋" w:cs="仿宋"/>
          <w:color w:val="auto"/>
          <w:spacing w:val="4"/>
          <w:sz w:val="23"/>
          <w:szCs w:val="23"/>
          <w:highlight w:val="none"/>
        </w:rPr>
        <w:t>（响应文件格式八）</w:t>
      </w:r>
    </w:p>
    <w:p w14:paraId="50482D55">
      <w:pPr>
        <w:spacing w:before="46" w:line="235" w:lineRule="auto"/>
        <w:jc w:val="center"/>
        <w:rPr>
          <w:rFonts w:hint="eastAsia" w:ascii="仿宋" w:hAnsi="仿宋" w:eastAsia="仿宋" w:cs="仿宋"/>
          <w:color w:val="auto"/>
          <w:spacing w:val="5"/>
          <w:sz w:val="23"/>
          <w:szCs w:val="23"/>
          <w:highlight w:val="none"/>
        </w:rPr>
      </w:pPr>
      <w:r>
        <w:rPr>
          <w:rFonts w:hint="eastAsia" w:ascii="仿宋" w:hAnsi="仿宋" w:eastAsia="仿宋" w:cs="仿宋"/>
          <w:color w:val="auto"/>
          <w:spacing w:val="5"/>
          <w:sz w:val="23"/>
          <w:szCs w:val="23"/>
          <w:highlight w:val="none"/>
        </w:rPr>
        <w:t>5.2技术条款偏离表</w:t>
      </w:r>
    </w:p>
    <w:p w14:paraId="30D951DC">
      <w:pPr>
        <w:spacing w:before="46" w:line="235" w:lineRule="auto"/>
        <w:jc w:val="center"/>
        <w:rPr>
          <w:rFonts w:hint="eastAsia" w:ascii="仿宋" w:hAnsi="仿宋" w:eastAsia="仿宋" w:cs="仿宋"/>
          <w:color w:val="auto"/>
          <w:spacing w:val="5"/>
          <w:sz w:val="23"/>
          <w:szCs w:val="23"/>
          <w:highlight w:val="none"/>
        </w:rPr>
      </w:pPr>
    </w:p>
    <w:p w14:paraId="1E8E8298">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项目名称 : </w:t>
      </w:r>
    </w:p>
    <w:p w14:paraId="5BE44C6D">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                      </w:t>
      </w:r>
    </w:p>
    <w:p w14:paraId="07D7BAF0">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项目编号: </w:t>
      </w:r>
    </w:p>
    <w:p w14:paraId="646CBD0B">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            </w:t>
      </w:r>
    </w:p>
    <w:p w14:paraId="107A575D">
      <w:pPr>
        <w:spacing w:before="147" w:line="360" w:lineRule="auto"/>
        <w:rPr>
          <w:rFonts w:hint="eastAsia" w:ascii="仿宋" w:hAnsi="仿宋" w:eastAsia="仿宋" w:cs="仿宋"/>
          <w:color w:val="auto"/>
          <w:spacing w:val="5"/>
          <w:sz w:val="23"/>
          <w:szCs w:val="23"/>
          <w:highlight w:val="none"/>
          <w:lang w:val="en-US" w:eastAsia="zh-CN"/>
        </w:rPr>
      </w:pPr>
      <w:r>
        <w:rPr>
          <w:rFonts w:hint="eastAsia" w:ascii="仿宋" w:hAnsi="仿宋" w:eastAsia="仿宋" w:cs="仿宋"/>
          <w:color w:val="auto"/>
          <w:spacing w:val="8"/>
          <w:sz w:val="24"/>
          <w:szCs w:val="24"/>
          <w:highlight w:val="none"/>
        </w:rPr>
        <w:t>包号:</w:t>
      </w:r>
    </w:p>
    <w:p w14:paraId="3A7F8A7D">
      <w:pPr>
        <w:rPr>
          <w:rFonts w:hint="eastAsia" w:ascii="仿宋" w:hAnsi="仿宋" w:eastAsia="仿宋" w:cs="仿宋"/>
          <w:color w:val="auto"/>
          <w:spacing w:val="-60"/>
          <w:sz w:val="23"/>
          <w:szCs w:val="23"/>
          <w:highlight w:val="none"/>
          <w:lang w:eastAsia="zh-CN"/>
        </w:rPr>
      </w:pPr>
    </w:p>
    <w:tbl>
      <w:tblPr>
        <w:tblStyle w:val="20"/>
        <w:tblW w:w="9031"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1"/>
        <w:gridCol w:w="1983"/>
        <w:gridCol w:w="2644"/>
        <w:gridCol w:w="2517"/>
        <w:gridCol w:w="1056"/>
      </w:tblGrid>
      <w:tr w14:paraId="01B5C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831" w:type="dxa"/>
            <w:vAlign w:val="top"/>
          </w:tcPr>
          <w:p w14:paraId="3A541FEF">
            <w:pPr>
              <w:pStyle w:val="21"/>
              <w:spacing w:before="55" w:line="229" w:lineRule="auto"/>
              <w:ind w:left="187"/>
              <w:rPr>
                <w:rFonts w:hint="eastAsia" w:ascii="仿宋" w:hAnsi="仿宋" w:eastAsia="仿宋" w:cs="仿宋"/>
                <w:color w:val="auto"/>
                <w:highlight w:val="none"/>
              </w:rPr>
            </w:pPr>
            <w:r>
              <w:rPr>
                <w:rFonts w:hint="eastAsia" w:ascii="仿宋" w:hAnsi="仿宋" w:eastAsia="仿宋" w:cs="仿宋"/>
                <w:color w:val="auto"/>
                <w:spacing w:val="3"/>
                <w:highlight w:val="none"/>
              </w:rPr>
              <w:t>序号</w:t>
            </w:r>
          </w:p>
        </w:tc>
        <w:tc>
          <w:tcPr>
            <w:tcW w:w="1983" w:type="dxa"/>
            <w:vAlign w:val="top"/>
          </w:tcPr>
          <w:p w14:paraId="1CADC1B1">
            <w:pPr>
              <w:pStyle w:val="21"/>
              <w:spacing w:before="53" w:line="227" w:lineRule="auto"/>
              <w:ind w:left="171"/>
              <w:rPr>
                <w:rFonts w:hint="eastAsia" w:ascii="仿宋" w:hAnsi="仿宋" w:eastAsia="仿宋" w:cs="仿宋"/>
                <w:color w:val="auto"/>
                <w:highlight w:val="none"/>
              </w:rPr>
            </w:pPr>
            <w:r>
              <w:rPr>
                <w:rFonts w:hint="eastAsia" w:ascii="仿宋" w:hAnsi="仿宋" w:eastAsia="仿宋" w:cs="仿宋"/>
                <w:color w:val="auto"/>
                <w:spacing w:val="6"/>
                <w:highlight w:val="none"/>
              </w:rPr>
              <w:t>征集文件条款号</w:t>
            </w:r>
          </w:p>
        </w:tc>
        <w:tc>
          <w:tcPr>
            <w:tcW w:w="2644" w:type="dxa"/>
            <w:vAlign w:val="top"/>
          </w:tcPr>
          <w:p w14:paraId="2AB24123">
            <w:pPr>
              <w:pStyle w:val="21"/>
              <w:spacing w:before="53" w:line="227" w:lineRule="auto"/>
              <w:ind w:left="264"/>
              <w:rPr>
                <w:rFonts w:hint="eastAsia" w:ascii="仿宋" w:hAnsi="仿宋" w:eastAsia="仿宋" w:cs="仿宋"/>
                <w:color w:val="auto"/>
                <w:highlight w:val="none"/>
              </w:rPr>
            </w:pPr>
            <w:r>
              <w:rPr>
                <w:rFonts w:hint="eastAsia" w:ascii="仿宋" w:hAnsi="仿宋" w:eastAsia="仿宋" w:cs="仿宋"/>
                <w:color w:val="auto"/>
                <w:spacing w:val="6"/>
                <w:highlight w:val="none"/>
              </w:rPr>
              <w:t>征集文件的技术条款</w:t>
            </w:r>
          </w:p>
        </w:tc>
        <w:tc>
          <w:tcPr>
            <w:tcW w:w="2517" w:type="dxa"/>
            <w:vAlign w:val="top"/>
          </w:tcPr>
          <w:p w14:paraId="1F8C3A7D">
            <w:pPr>
              <w:pStyle w:val="21"/>
              <w:spacing w:before="53" w:line="227" w:lineRule="auto"/>
              <w:ind w:left="221"/>
              <w:rPr>
                <w:rFonts w:hint="eastAsia" w:ascii="仿宋" w:hAnsi="仿宋" w:eastAsia="仿宋" w:cs="仿宋"/>
                <w:color w:val="auto"/>
                <w:highlight w:val="none"/>
              </w:rPr>
            </w:pPr>
            <w:r>
              <w:rPr>
                <w:rFonts w:hint="eastAsia" w:ascii="仿宋" w:hAnsi="仿宋" w:eastAsia="仿宋" w:cs="仿宋"/>
                <w:color w:val="auto"/>
                <w:spacing w:val="4"/>
                <w:highlight w:val="none"/>
              </w:rPr>
              <w:t>响应文件的技术条款</w:t>
            </w:r>
          </w:p>
        </w:tc>
        <w:tc>
          <w:tcPr>
            <w:tcW w:w="1056" w:type="dxa"/>
            <w:vAlign w:val="top"/>
          </w:tcPr>
          <w:p w14:paraId="0B06961E">
            <w:pPr>
              <w:pStyle w:val="21"/>
              <w:spacing w:before="53" w:line="227" w:lineRule="auto"/>
              <w:ind w:left="184"/>
              <w:rPr>
                <w:rFonts w:hint="eastAsia" w:ascii="仿宋" w:hAnsi="仿宋" w:eastAsia="仿宋" w:cs="仿宋"/>
                <w:color w:val="auto"/>
                <w:highlight w:val="none"/>
              </w:rPr>
            </w:pPr>
            <w:r>
              <w:rPr>
                <w:rFonts w:hint="eastAsia" w:ascii="仿宋" w:hAnsi="仿宋" w:eastAsia="仿宋" w:cs="仿宋"/>
                <w:color w:val="auto"/>
                <w:highlight w:val="none"/>
              </w:rPr>
              <w:t>说明</w:t>
            </w:r>
          </w:p>
        </w:tc>
      </w:tr>
      <w:tr w14:paraId="142A8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4ADAB61B">
            <w:pPr>
              <w:rPr>
                <w:rFonts w:hint="eastAsia" w:ascii="仿宋" w:hAnsi="仿宋" w:eastAsia="仿宋" w:cs="仿宋"/>
                <w:color w:val="auto"/>
                <w:sz w:val="21"/>
                <w:highlight w:val="none"/>
              </w:rPr>
            </w:pPr>
          </w:p>
        </w:tc>
        <w:tc>
          <w:tcPr>
            <w:tcW w:w="1983" w:type="dxa"/>
            <w:vAlign w:val="top"/>
          </w:tcPr>
          <w:p w14:paraId="01F842D0">
            <w:pPr>
              <w:rPr>
                <w:rFonts w:hint="eastAsia" w:ascii="仿宋" w:hAnsi="仿宋" w:eastAsia="仿宋" w:cs="仿宋"/>
                <w:color w:val="auto"/>
                <w:sz w:val="21"/>
                <w:highlight w:val="none"/>
              </w:rPr>
            </w:pPr>
          </w:p>
        </w:tc>
        <w:tc>
          <w:tcPr>
            <w:tcW w:w="2644" w:type="dxa"/>
            <w:vAlign w:val="top"/>
          </w:tcPr>
          <w:p w14:paraId="1582870E">
            <w:pPr>
              <w:rPr>
                <w:rFonts w:hint="eastAsia" w:ascii="仿宋" w:hAnsi="仿宋" w:eastAsia="仿宋" w:cs="仿宋"/>
                <w:color w:val="auto"/>
                <w:sz w:val="21"/>
                <w:highlight w:val="none"/>
              </w:rPr>
            </w:pPr>
          </w:p>
        </w:tc>
        <w:tc>
          <w:tcPr>
            <w:tcW w:w="2517" w:type="dxa"/>
            <w:vAlign w:val="top"/>
          </w:tcPr>
          <w:p w14:paraId="138D42E0">
            <w:pPr>
              <w:rPr>
                <w:rFonts w:hint="eastAsia" w:ascii="仿宋" w:hAnsi="仿宋" w:eastAsia="仿宋" w:cs="仿宋"/>
                <w:color w:val="auto"/>
                <w:sz w:val="21"/>
                <w:highlight w:val="none"/>
              </w:rPr>
            </w:pPr>
          </w:p>
        </w:tc>
        <w:tc>
          <w:tcPr>
            <w:tcW w:w="1056" w:type="dxa"/>
            <w:vAlign w:val="top"/>
          </w:tcPr>
          <w:p w14:paraId="7B907706">
            <w:pPr>
              <w:rPr>
                <w:rFonts w:hint="eastAsia" w:ascii="仿宋" w:hAnsi="仿宋" w:eastAsia="仿宋" w:cs="仿宋"/>
                <w:color w:val="auto"/>
                <w:sz w:val="21"/>
                <w:highlight w:val="none"/>
              </w:rPr>
            </w:pPr>
          </w:p>
        </w:tc>
      </w:tr>
      <w:tr w14:paraId="61DF0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31" w:type="dxa"/>
            <w:vAlign w:val="top"/>
          </w:tcPr>
          <w:p w14:paraId="26CCE0E6">
            <w:pPr>
              <w:rPr>
                <w:rFonts w:hint="eastAsia" w:ascii="仿宋" w:hAnsi="仿宋" w:eastAsia="仿宋" w:cs="仿宋"/>
                <w:color w:val="auto"/>
                <w:sz w:val="21"/>
                <w:highlight w:val="none"/>
              </w:rPr>
            </w:pPr>
          </w:p>
        </w:tc>
        <w:tc>
          <w:tcPr>
            <w:tcW w:w="1983" w:type="dxa"/>
            <w:vAlign w:val="top"/>
          </w:tcPr>
          <w:p w14:paraId="51173E11">
            <w:pPr>
              <w:rPr>
                <w:rFonts w:hint="eastAsia" w:ascii="仿宋" w:hAnsi="仿宋" w:eastAsia="仿宋" w:cs="仿宋"/>
                <w:color w:val="auto"/>
                <w:sz w:val="21"/>
                <w:highlight w:val="none"/>
              </w:rPr>
            </w:pPr>
          </w:p>
        </w:tc>
        <w:tc>
          <w:tcPr>
            <w:tcW w:w="2644" w:type="dxa"/>
            <w:vAlign w:val="top"/>
          </w:tcPr>
          <w:p w14:paraId="4212E603">
            <w:pPr>
              <w:rPr>
                <w:rFonts w:hint="eastAsia" w:ascii="仿宋" w:hAnsi="仿宋" w:eastAsia="仿宋" w:cs="仿宋"/>
                <w:color w:val="auto"/>
                <w:sz w:val="21"/>
                <w:highlight w:val="none"/>
              </w:rPr>
            </w:pPr>
          </w:p>
        </w:tc>
        <w:tc>
          <w:tcPr>
            <w:tcW w:w="2517" w:type="dxa"/>
            <w:vAlign w:val="top"/>
          </w:tcPr>
          <w:p w14:paraId="02EFA904">
            <w:pPr>
              <w:rPr>
                <w:rFonts w:hint="eastAsia" w:ascii="仿宋" w:hAnsi="仿宋" w:eastAsia="仿宋" w:cs="仿宋"/>
                <w:color w:val="auto"/>
                <w:sz w:val="21"/>
                <w:highlight w:val="none"/>
              </w:rPr>
            </w:pPr>
          </w:p>
        </w:tc>
        <w:tc>
          <w:tcPr>
            <w:tcW w:w="1056" w:type="dxa"/>
            <w:vAlign w:val="top"/>
          </w:tcPr>
          <w:p w14:paraId="52DF96B6">
            <w:pPr>
              <w:rPr>
                <w:rFonts w:hint="eastAsia" w:ascii="仿宋" w:hAnsi="仿宋" w:eastAsia="仿宋" w:cs="仿宋"/>
                <w:color w:val="auto"/>
                <w:sz w:val="21"/>
                <w:highlight w:val="none"/>
              </w:rPr>
            </w:pPr>
          </w:p>
        </w:tc>
      </w:tr>
      <w:tr w14:paraId="2BDA5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31" w:type="dxa"/>
            <w:vAlign w:val="top"/>
          </w:tcPr>
          <w:p w14:paraId="48D4C001">
            <w:pPr>
              <w:rPr>
                <w:rFonts w:hint="eastAsia" w:ascii="仿宋" w:hAnsi="仿宋" w:eastAsia="仿宋" w:cs="仿宋"/>
                <w:color w:val="auto"/>
                <w:sz w:val="21"/>
                <w:highlight w:val="none"/>
              </w:rPr>
            </w:pPr>
          </w:p>
        </w:tc>
        <w:tc>
          <w:tcPr>
            <w:tcW w:w="1983" w:type="dxa"/>
            <w:vAlign w:val="top"/>
          </w:tcPr>
          <w:p w14:paraId="5AA1C74E">
            <w:pPr>
              <w:rPr>
                <w:rFonts w:hint="eastAsia" w:ascii="仿宋" w:hAnsi="仿宋" w:eastAsia="仿宋" w:cs="仿宋"/>
                <w:color w:val="auto"/>
                <w:sz w:val="21"/>
                <w:highlight w:val="none"/>
              </w:rPr>
            </w:pPr>
          </w:p>
        </w:tc>
        <w:tc>
          <w:tcPr>
            <w:tcW w:w="2644" w:type="dxa"/>
            <w:vAlign w:val="top"/>
          </w:tcPr>
          <w:p w14:paraId="1EC78FD2">
            <w:pPr>
              <w:rPr>
                <w:rFonts w:hint="eastAsia" w:ascii="仿宋" w:hAnsi="仿宋" w:eastAsia="仿宋" w:cs="仿宋"/>
                <w:color w:val="auto"/>
                <w:sz w:val="21"/>
                <w:highlight w:val="none"/>
              </w:rPr>
            </w:pPr>
          </w:p>
        </w:tc>
        <w:tc>
          <w:tcPr>
            <w:tcW w:w="2517" w:type="dxa"/>
            <w:vAlign w:val="top"/>
          </w:tcPr>
          <w:p w14:paraId="2982E6AD">
            <w:pPr>
              <w:rPr>
                <w:rFonts w:hint="eastAsia" w:ascii="仿宋" w:hAnsi="仿宋" w:eastAsia="仿宋" w:cs="仿宋"/>
                <w:color w:val="auto"/>
                <w:sz w:val="21"/>
                <w:highlight w:val="none"/>
              </w:rPr>
            </w:pPr>
          </w:p>
        </w:tc>
        <w:tc>
          <w:tcPr>
            <w:tcW w:w="1056" w:type="dxa"/>
            <w:vAlign w:val="top"/>
          </w:tcPr>
          <w:p w14:paraId="43A21F74">
            <w:pPr>
              <w:rPr>
                <w:rFonts w:hint="eastAsia" w:ascii="仿宋" w:hAnsi="仿宋" w:eastAsia="仿宋" w:cs="仿宋"/>
                <w:color w:val="auto"/>
                <w:sz w:val="21"/>
                <w:highlight w:val="none"/>
              </w:rPr>
            </w:pPr>
          </w:p>
        </w:tc>
      </w:tr>
      <w:tr w14:paraId="6706C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7E6B7B36">
            <w:pPr>
              <w:rPr>
                <w:rFonts w:hint="eastAsia" w:ascii="仿宋" w:hAnsi="仿宋" w:eastAsia="仿宋" w:cs="仿宋"/>
                <w:color w:val="auto"/>
                <w:sz w:val="21"/>
                <w:highlight w:val="none"/>
              </w:rPr>
            </w:pPr>
          </w:p>
        </w:tc>
        <w:tc>
          <w:tcPr>
            <w:tcW w:w="1983" w:type="dxa"/>
            <w:vAlign w:val="top"/>
          </w:tcPr>
          <w:p w14:paraId="43A602C8">
            <w:pPr>
              <w:rPr>
                <w:rFonts w:hint="eastAsia" w:ascii="仿宋" w:hAnsi="仿宋" w:eastAsia="仿宋" w:cs="仿宋"/>
                <w:color w:val="auto"/>
                <w:sz w:val="21"/>
                <w:highlight w:val="none"/>
              </w:rPr>
            </w:pPr>
          </w:p>
        </w:tc>
        <w:tc>
          <w:tcPr>
            <w:tcW w:w="2644" w:type="dxa"/>
            <w:vAlign w:val="top"/>
          </w:tcPr>
          <w:p w14:paraId="7EBF8E45">
            <w:pPr>
              <w:rPr>
                <w:rFonts w:hint="eastAsia" w:ascii="仿宋" w:hAnsi="仿宋" w:eastAsia="仿宋" w:cs="仿宋"/>
                <w:color w:val="auto"/>
                <w:sz w:val="21"/>
                <w:highlight w:val="none"/>
              </w:rPr>
            </w:pPr>
          </w:p>
        </w:tc>
        <w:tc>
          <w:tcPr>
            <w:tcW w:w="2517" w:type="dxa"/>
            <w:vAlign w:val="top"/>
          </w:tcPr>
          <w:p w14:paraId="612E9A62">
            <w:pPr>
              <w:rPr>
                <w:rFonts w:hint="eastAsia" w:ascii="仿宋" w:hAnsi="仿宋" w:eastAsia="仿宋" w:cs="仿宋"/>
                <w:color w:val="auto"/>
                <w:sz w:val="21"/>
                <w:highlight w:val="none"/>
              </w:rPr>
            </w:pPr>
          </w:p>
        </w:tc>
        <w:tc>
          <w:tcPr>
            <w:tcW w:w="1056" w:type="dxa"/>
            <w:vAlign w:val="top"/>
          </w:tcPr>
          <w:p w14:paraId="7650B393">
            <w:pPr>
              <w:rPr>
                <w:rFonts w:hint="eastAsia" w:ascii="仿宋" w:hAnsi="仿宋" w:eastAsia="仿宋" w:cs="仿宋"/>
                <w:color w:val="auto"/>
                <w:sz w:val="21"/>
                <w:highlight w:val="none"/>
              </w:rPr>
            </w:pPr>
          </w:p>
        </w:tc>
      </w:tr>
      <w:tr w14:paraId="7C99C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31" w:type="dxa"/>
            <w:vAlign w:val="top"/>
          </w:tcPr>
          <w:p w14:paraId="35BC1739">
            <w:pPr>
              <w:rPr>
                <w:rFonts w:hint="eastAsia" w:ascii="仿宋" w:hAnsi="仿宋" w:eastAsia="仿宋" w:cs="仿宋"/>
                <w:color w:val="auto"/>
                <w:sz w:val="21"/>
                <w:highlight w:val="none"/>
              </w:rPr>
            </w:pPr>
          </w:p>
        </w:tc>
        <w:tc>
          <w:tcPr>
            <w:tcW w:w="1983" w:type="dxa"/>
            <w:vAlign w:val="top"/>
          </w:tcPr>
          <w:p w14:paraId="793975BF">
            <w:pPr>
              <w:rPr>
                <w:rFonts w:hint="eastAsia" w:ascii="仿宋" w:hAnsi="仿宋" w:eastAsia="仿宋" w:cs="仿宋"/>
                <w:color w:val="auto"/>
                <w:sz w:val="21"/>
                <w:highlight w:val="none"/>
              </w:rPr>
            </w:pPr>
          </w:p>
        </w:tc>
        <w:tc>
          <w:tcPr>
            <w:tcW w:w="2644" w:type="dxa"/>
            <w:vAlign w:val="top"/>
          </w:tcPr>
          <w:p w14:paraId="57C92592">
            <w:pPr>
              <w:rPr>
                <w:rFonts w:hint="eastAsia" w:ascii="仿宋" w:hAnsi="仿宋" w:eastAsia="仿宋" w:cs="仿宋"/>
                <w:color w:val="auto"/>
                <w:sz w:val="21"/>
                <w:highlight w:val="none"/>
              </w:rPr>
            </w:pPr>
          </w:p>
        </w:tc>
        <w:tc>
          <w:tcPr>
            <w:tcW w:w="2517" w:type="dxa"/>
            <w:vAlign w:val="top"/>
          </w:tcPr>
          <w:p w14:paraId="1B6F5FB1">
            <w:pPr>
              <w:rPr>
                <w:rFonts w:hint="eastAsia" w:ascii="仿宋" w:hAnsi="仿宋" w:eastAsia="仿宋" w:cs="仿宋"/>
                <w:color w:val="auto"/>
                <w:sz w:val="21"/>
                <w:highlight w:val="none"/>
              </w:rPr>
            </w:pPr>
          </w:p>
        </w:tc>
        <w:tc>
          <w:tcPr>
            <w:tcW w:w="1056" w:type="dxa"/>
            <w:vAlign w:val="top"/>
          </w:tcPr>
          <w:p w14:paraId="30D54F93">
            <w:pPr>
              <w:rPr>
                <w:rFonts w:hint="eastAsia" w:ascii="仿宋" w:hAnsi="仿宋" w:eastAsia="仿宋" w:cs="仿宋"/>
                <w:color w:val="auto"/>
                <w:sz w:val="21"/>
                <w:highlight w:val="none"/>
              </w:rPr>
            </w:pPr>
          </w:p>
        </w:tc>
      </w:tr>
      <w:tr w14:paraId="412E3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31" w:type="dxa"/>
            <w:vAlign w:val="top"/>
          </w:tcPr>
          <w:p w14:paraId="6FD722FE">
            <w:pPr>
              <w:rPr>
                <w:rFonts w:hint="eastAsia" w:ascii="仿宋" w:hAnsi="仿宋" w:eastAsia="仿宋" w:cs="仿宋"/>
                <w:color w:val="auto"/>
                <w:sz w:val="21"/>
                <w:highlight w:val="none"/>
              </w:rPr>
            </w:pPr>
          </w:p>
        </w:tc>
        <w:tc>
          <w:tcPr>
            <w:tcW w:w="1983" w:type="dxa"/>
            <w:vAlign w:val="top"/>
          </w:tcPr>
          <w:p w14:paraId="7108ADAC">
            <w:pPr>
              <w:rPr>
                <w:rFonts w:hint="eastAsia" w:ascii="仿宋" w:hAnsi="仿宋" w:eastAsia="仿宋" w:cs="仿宋"/>
                <w:color w:val="auto"/>
                <w:sz w:val="21"/>
                <w:highlight w:val="none"/>
              </w:rPr>
            </w:pPr>
          </w:p>
        </w:tc>
        <w:tc>
          <w:tcPr>
            <w:tcW w:w="2644" w:type="dxa"/>
            <w:vAlign w:val="top"/>
          </w:tcPr>
          <w:p w14:paraId="2653C2B3">
            <w:pPr>
              <w:rPr>
                <w:rFonts w:hint="eastAsia" w:ascii="仿宋" w:hAnsi="仿宋" w:eastAsia="仿宋" w:cs="仿宋"/>
                <w:color w:val="auto"/>
                <w:sz w:val="21"/>
                <w:highlight w:val="none"/>
              </w:rPr>
            </w:pPr>
          </w:p>
        </w:tc>
        <w:tc>
          <w:tcPr>
            <w:tcW w:w="2517" w:type="dxa"/>
            <w:vAlign w:val="top"/>
          </w:tcPr>
          <w:p w14:paraId="7226C246">
            <w:pPr>
              <w:rPr>
                <w:rFonts w:hint="eastAsia" w:ascii="仿宋" w:hAnsi="仿宋" w:eastAsia="仿宋" w:cs="仿宋"/>
                <w:color w:val="auto"/>
                <w:sz w:val="21"/>
                <w:highlight w:val="none"/>
              </w:rPr>
            </w:pPr>
          </w:p>
        </w:tc>
        <w:tc>
          <w:tcPr>
            <w:tcW w:w="1056" w:type="dxa"/>
            <w:vAlign w:val="top"/>
          </w:tcPr>
          <w:p w14:paraId="3E81E61B">
            <w:pPr>
              <w:rPr>
                <w:rFonts w:hint="eastAsia" w:ascii="仿宋" w:hAnsi="仿宋" w:eastAsia="仿宋" w:cs="仿宋"/>
                <w:color w:val="auto"/>
                <w:sz w:val="21"/>
                <w:highlight w:val="none"/>
              </w:rPr>
            </w:pPr>
          </w:p>
        </w:tc>
      </w:tr>
      <w:tr w14:paraId="33305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31" w:type="dxa"/>
            <w:vAlign w:val="top"/>
          </w:tcPr>
          <w:p w14:paraId="1858FBE4">
            <w:pPr>
              <w:rPr>
                <w:rFonts w:hint="eastAsia" w:ascii="仿宋" w:hAnsi="仿宋" w:eastAsia="仿宋" w:cs="仿宋"/>
                <w:color w:val="auto"/>
                <w:sz w:val="21"/>
                <w:highlight w:val="none"/>
              </w:rPr>
            </w:pPr>
          </w:p>
        </w:tc>
        <w:tc>
          <w:tcPr>
            <w:tcW w:w="1983" w:type="dxa"/>
            <w:vAlign w:val="top"/>
          </w:tcPr>
          <w:p w14:paraId="4AAC40B7">
            <w:pPr>
              <w:rPr>
                <w:rFonts w:hint="eastAsia" w:ascii="仿宋" w:hAnsi="仿宋" w:eastAsia="仿宋" w:cs="仿宋"/>
                <w:color w:val="auto"/>
                <w:sz w:val="21"/>
                <w:highlight w:val="none"/>
              </w:rPr>
            </w:pPr>
          </w:p>
        </w:tc>
        <w:tc>
          <w:tcPr>
            <w:tcW w:w="2644" w:type="dxa"/>
            <w:vAlign w:val="top"/>
          </w:tcPr>
          <w:p w14:paraId="0EC0ED10">
            <w:pPr>
              <w:rPr>
                <w:rFonts w:hint="eastAsia" w:ascii="仿宋" w:hAnsi="仿宋" w:eastAsia="仿宋" w:cs="仿宋"/>
                <w:color w:val="auto"/>
                <w:sz w:val="21"/>
                <w:highlight w:val="none"/>
              </w:rPr>
            </w:pPr>
          </w:p>
        </w:tc>
        <w:tc>
          <w:tcPr>
            <w:tcW w:w="2517" w:type="dxa"/>
            <w:vAlign w:val="top"/>
          </w:tcPr>
          <w:p w14:paraId="3955EAEA">
            <w:pPr>
              <w:rPr>
                <w:rFonts w:hint="eastAsia" w:ascii="仿宋" w:hAnsi="仿宋" w:eastAsia="仿宋" w:cs="仿宋"/>
                <w:color w:val="auto"/>
                <w:sz w:val="21"/>
                <w:highlight w:val="none"/>
              </w:rPr>
            </w:pPr>
          </w:p>
        </w:tc>
        <w:tc>
          <w:tcPr>
            <w:tcW w:w="1056" w:type="dxa"/>
            <w:vAlign w:val="top"/>
          </w:tcPr>
          <w:p w14:paraId="66580712">
            <w:pPr>
              <w:rPr>
                <w:rFonts w:hint="eastAsia" w:ascii="仿宋" w:hAnsi="仿宋" w:eastAsia="仿宋" w:cs="仿宋"/>
                <w:color w:val="auto"/>
                <w:sz w:val="21"/>
                <w:highlight w:val="none"/>
              </w:rPr>
            </w:pPr>
          </w:p>
        </w:tc>
      </w:tr>
      <w:tr w14:paraId="21ABF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831" w:type="dxa"/>
            <w:vAlign w:val="top"/>
          </w:tcPr>
          <w:p w14:paraId="27E9ACF2">
            <w:pPr>
              <w:rPr>
                <w:rFonts w:hint="eastAsia" w:ascii="仿宋" w:hAnsi="仿宋" w:eastAsia="仿宋" w:cs="仿宋"/>
                <w:color w:val="auto"/>
                <w:sz w:val="21"/>
                <w:highlight w:val="none"/>
              </w:rPr>
            </w:pPr>
          </w:p>
        </w:tc>
        <w:tc>
          <w:tcPr>
            <w:tcW w:w="1983" w:type="dxa"/>
            <w:vAlign w:val="top"/>
          </w:tcPr>
          <w:p w14:paraId="76BD8638">
            <w:pPr>
              <w:rPr>
                <w:rFonts w:hint="eastAsia" w:ascii="仿宋" w:hAnsi="仿宋" w:eastAsia="仿宋" w:cs="仿宋"/>
                <w:color w:val="auto"/>
                <w:sz w:val="21"/>
                <w:highlight w:val="none"/>
              </w:rPr>
            </w:pPr>
          </w:p>
        </w:tc>
        <w:tc>
          <w:tcPr>
            <w:tcW w:w="2644" w:type="dxa"/>
            <w:vAlign w:val="top"/>
          </w:tcPr>
          <w:p w14:paraId="7C88C5C3">
            <w:pPr>
              <w:rPr>
                <w:rFonts w:hint="eastAsia" w:ascii="仿宋" w:hAnsi="仿宋" w:eastAsia="仿宋" w:cs="仿宋"/>
                <w:color w:val="auto"/>
                <w:sz w:val="21"/>
                <w:highlight w:val="none"/>
              </w:rPr>
            </w:pPr>
          </w:p>
        </w:tc>
        <w:tc>
          <w:tcPr>
            <w:tcW w:w="2517" w:type="dxa"/>
            <w:vAlign w:val="top"/>
          </w:tcPr>
          <w:p w14:paraId="6B75FCF5">
            <w:pPr>
              <w:rPr>
                <w:rFonts w:hint="eastAsia" w:ascii="仿宋" w:hAnsi="仿宋" w:eastAsia="仿宋" w:cs="仿宋"/>
                <w:color w:val="auto"/>
                <w:sz w:val="21"/>
                <w:highlight w:val="none"/>
              </w:rPr>
            </w:pPr>
          </w:p>
        </w:tc>
        <w:tc>
          <w:tcPr>
            <w:tcW w:w="1056" w:type="dxa"/>
            <w:vAlign w:val="top"/>
          </w:tcPr>
          <w:p w14:paraId="52099532">
            <w:pPr>
              <w:rPr>
                <w:rFonts w:hint="eastAsia" w:ascii="仿宋" w:hAnsi="仿宋" w:eastAsia="仿宋" w:cs="仿宋"/>
                <w:color w:val="auto"/>
                <w:sz w:val="21"/>
                <w:highlight w:val="none"/>
              </w:rPr>
            </w:pPr>
          </w:p>
        </w:tc>
      </w:tr>
    </w:tbl>
    <w:p w14:paraId="23E80692">
      <w:pPr>
        <w:spacing w:before="32" w:line="485" w:lineRule="exact"/>
        <w:ind w:firstLine="460" w:firstLineChars="200"/>
        <w:jc w:val="both"/>
        <w:rPr>
          <w:rFonts w:hint="eastAsia" w:ascii="仿宋" w:hAnsi="仿宋" w:eastAsia="仿宋" w:cs="仿宋"/>
          <w:color w:val="auto"/>
          <w:sz w:val="23"/>
          <w:szCs w:val="23"/>
          <w:highlight w:val="none"/>
        </w:rPr>
      </w:pPr>
      <w:r>
        <w:rPr>
          <w:rFonts w:hint="eastAsia" w:ascii="仿宋" w:hAnsi="仿宋" w:eastAsia="仿宋" w:cs="仿宋"/>
          <w:color w:val="auto"/>
          <w:sz w:val="23"/>
          <w:szCs w:val="23"/>
          <w:highlight w:val="none"/>
        </w:rPr>
        <w:t>备注：如有偏离，须详细说明偏离内容，如未说明， 视为对征集文件所列全部技术条款均响应。</w:t>
      </w:r>
    </w:p>
    <w:p w14:paraId="6187D37E">
      <w:pPr>
        <w:spacing w:before="32" w:line="485" w:lineRule="exact"/>
        <w:ind w:firstLine="460" w:firstLineChars="200"/>
        <w:jc w:val="both"/>
        <w:rPr>
          <w:rFonts w:hint="eastAsia" w:ascii="仿宋" w:hAnsi="仿宋" w:eastAsia="仿宋" w:cs="仿宋"/>
          <w:color w:val="auto"/>
          <w:sz w:val="23"/>
          <w:szCs w:val="23"/>
          <w:highlight w:val="none"/>
        </w:rPr>
      </w:pPr>
    </w:p>
    <w:p w14:paraId="5FB2023C">
      <w:pPr>
        <w:spacing w:before="204" w:line="356" w:lineRule="auto"/>
        <w:rPr>
          <w:rFonts w:hint="eastAsia" w:ascii="仿宋" w:hAnsi="仿宋" w:eastAsia="仿宋" w:cs="仿宋"/>
          <w:color w:val="auto"/>
          <w:spacing w:val="3"/>
          <w:sz w:val="23"/>
          <w:szCs w:val="23"/>
          <w:highlight w:val="none"/>
          <w:u w:val="single" w:color="auto"/>
        </w:rPr>
      </w:pPr>
      <w:r>
        <w:rPr>
          <w:rFonts w:hint="eastAsia" w:ascii="仿宋" w:hAnsi="仿宋" w:eastAsia="仿宋" w:cs="仿宋"/>
          <w:color w:val="auto"/>
          <w:spacing w:val="4"/>
          <w:sz w:val="23"/>
          <w:szCs w:val="23"/>
          <w:highlight w:val="none"/>
        </w:rPr>
        <w:t>供应商(盖公章):</w:t>
      </w:r>
      <w:r>
        <w:rPr>
          <w:rFonts w:hint="eastAsia" w:ascii="仿宋" w:hAnsi="仿宋" w:eastAsia="仿宋" w:cs="仿宋"/>
          <w:color w:val="auto"/>
          <w:spacing w:val="4"/>
          <w:sz w:val="23"/>
          <w:szCs w:val="23"/>
          <w:highlight w:val="none"/>
          <w:u w:val="single" w:color="auto"/>
        </w:rPr>
        <w:t xml:space="preserve">           </w:t>
      </w:r>
      <w:r>
        <w:rPr>
          <w:rFonts w:hint="eastAsia" w:ascii="仿宋" w:hAnsi="仿宋" w:eastAsia="仿宋" w:cs="仿宋"/>
          <w:color w:val="auto"/>
          <w:spacing w:val="3"/>
          <w:sz w:val="23"/>
          <w:szCs w:val="23"/>
          <w:highlight w:val="none"/>
          <w:u w:val="single" w:color="auto"/>
        </w:rPr>
        <w:t xml:space="preserve">              </w:t>
      </w:r>
    </w:p>
    <w:p w14:paraId="4C346402">
      <w:pPr>
        <w:spacing w:before="1" w:line="226" w:lineRule="auto"/>
        <w:rPr>
          <w:rFonts w:hint="eastAsia" w:ascii="仿宋" w:hAnsi="仿宋" w:eastAsia="仿宋" w:cs="仿宋"/>
          <w:color w:val="auto"/>
          <w:spacing w:val="5"/>
          <w:sz w:val="23"/>
          <w:szCs w:val="23"/>
          <w:highlight w:val="none"/>
        </w:rPr>
      </w:pPr>
    </w:p>
    <w:p w14:paraId="12DED55E">
      <w:pPr>
        <w:spacing w:before="204" w:line="356" w:lineRule="auto"/>
        <w:rPr>
          <w:rFonts w:hint="eastAsia" w:ascii="仿宋" w:hAnsi="仿宋" w:eastAsia="仿宋" w:cs="仿宋"/>
          <w:color w:val="auto"/>
          <w:spacing w:val="3"/>
          <w:sz w:val="23"/>
          <w:szCs w:val="23"/>
          <w:highlight w:val="none"/>
          <w:u w:val="single" w:color="auto"/>
        </w:rPr>
      </w:pPr>
      <w:r>
        <w:rPr>
          <w:rFonts w:hint="eastAsia" w:ascii="仿宋" w:hAnsi="仿宋" w:eastAsia="仿宋" w:cs="仿宋"/>
          <w:color w:val="auto"/>
          <w:spacing w:val="5"/>
          <w:sz w:val="23"/>
          <w:szCs w:val="23"/>
          <w:highlight w:val="none"/>
        </w:rPr>
        <w:t>法定代表人或委托代理人（签字或签章） :</w:t>
      </w:r>
      <w:r>
        <w:rPr>
          <w:rFonts w:hint="eastAsia" w:ascii="仿宋" w:hAnsi="仿宋" w:eastAsia="仿宋" w:cs="仿宋"/>
          <w:color w:val="auto"/>
          <w:spacing w:val="4"/>
          <w:sz w:val="23"/>
          <w:szCs w:val="23"/>
          <w:highlight w:val="none"/>
          <w:u w:val="single" w:color="auto"/>
        </w:rPr>
        <w:t xml:space="preserve">           </w:t>
      </w:r>
      <w:r>
        <w:rPr>
          <w:rFonts w:hint="eastAsia" w:ascii="仿宋" w:hAnsi="仿宋" w:eastAsia="仿宋" w:cs="仿宋"/>
          <w:color w:val="auto"/>
          <w:spacing w:val="3"/>
          <w:sz w:val="23"/>
          <w:szCs w:val="23"/>
          <w:highlight w:val="none"/>
          <w:u w:val="single" w:color="auto"/>
        </w:rPr>
        <w:t xml:space="preserve">              </w:t>
      </w:r>
    </w:p>
    <w:p w14:paraId="73250BDB">
      <w:pPr>
        <w:spacing w:before="1" w:line="226" w:lineRule="auto"/>
        <w:rPr>
          <w:rFonts w:hint="eastAsia"/>
          <w:color w:val="auto"/>
          <w:highlight w:val="none"/>
          <w:lang w:eastAsia="zh-CN"/>
        </w:rPr>
        <w:sectPr>
          <w:type w:val="continuous"/>
          <w:pgSz w:w="11905" w:h="16838"/>
          <w:pgMar w:top="1020" w:right="1134" w:bottom="1020" w:left="1134" w:header="0" w:footer="573" w:gutter="0"/>
          <w:pgNumType w:fmt="decimal"/>
          <w:cols w:space="0" w:num="1"/>
          <w:rtlGutter w:val="0"/>
          <w:docGrid w:linePitch="0" w:charSpace="0"/>
        </w:sectPr>
      </w:pPr>
    </w:p>
    <w:p w14:paraId="16970EF1">
      <w:pPr>
        <w:spacing w:before="265" w:line="227" w:lineRule="auto"/>
        <w:ind w:left="3024"/>
        <w:rPr>
          <w:rFonts w:hint="eastAsia" w:ascii="仿宋" w:hAnsi="仿宋" w:eastAsia="仿宋" w:cs="仿宋"/>
          <w:color w:val="auto"/>
          <w:sz w:val="23"/>
          <w:szCs w:val="23"/>
          <w:highlight w:val="none"/>
        </w:rPr>
      </w:pPr>
      <w:r>
        <w:rPr>
          <w:rFonts w:hint="eastAsia" w:ascii="仿宋" w:hAnsi="仿宋" w:eastAsia="仿宋" w:cs="仿宋"/>
          <w:color w:val="auto"/>
          <w:spacing w:val="4"/>
          <w:sz w:val="23"/>
          <w:szCs w:val="23"/>
          <w:highlight w:val="none"/>
          <w:lang w:val="en-US" w:eastAsia="zh-CN"/>
        </w:rPr>
        <w:t>6、</w:t>
      </w:r>
      <w:r>
        <w:rPr>
          <w:rFonts w:hint="eastAsia" w:ascii="仿宋" w:hAnsi="仿宋" w:eastAsia="仿宋" w:cs="仿宋"/>
          <w:color w:val="auto"/>
          <w:spacing w:val="4"/>
          <w:sz w:val="23"/>
          <w:szCs w:val="23"/>
          <w:highlight w:val="none"/>
        </w:rPr>
        <w:t>中小企业声明函(（工程、服务)</w:t>
      </w:r>
    </w:p>
    <w:p w14:paraId="09A83C8F">
      <w:pPr>
        <w:spacing w:before="287" w:line="370" w:lineRule="auto"/>
        <w:ind w:right="2" w:firstLine="485"/>
        <w:rPr>
          <w:rFonts w:hint="eastAsia" w:ascii="仿宋" w:hAnsi="仿宋" w:eastAsia="仿宋" w:cs="仿宋"/>
          <w:color w:val="auto"/>
          <w:sz w:val="23"/>
          <w:szCs w:val="23"/>
          <w:highlight w:val="none"/>
        </w:rPr>
      </w:pPr>
      <w:r>
        <w:rPr>
          <w:rFonts w:hint="eastAsia" w:ascii="仿宋" w:hAnsi="仿宋" w:eastAsia="仿宋" w:cs="仿宋"/>
          <w:color w:val="auto"/>
          <w:spacing w:val="8"/>
          <w:sz w:val="23"/>
          <w:szCs w:val="23"/>
          <w:highlight w:val="none"/>
        </w:rPr>
        <w:t>本公司（联合体）郑重声明</w:t>
      </w:r>
      <w:r>
        <w:rPr>
          <w:rFonts w:hint="eastAsia" w:ascii="仿宋" w:hAnsi="仿宋" w:eastAsia="仿宋" w:cs="仿宋"/>
          <w:color w:val="auto"/>
          <w:spacing w:val="8"/>
          <w:sz w:val="23"/>
          <w:szCs w:val="23"/>
          <w:highlight w:val="none"/>
          <w:lang w:eastAsia="zh-CN"/>
        </w:rPr>
        <w:t>，</w:t>
      </w:r>
      <w:r>
        <w:rPr>
          <w:rFonts w:hint="eastAsia" w:ascii="仿宋" w:hAnsi="仿宋" w:eastAsia="仿宋" w:cs="仿宋"/>
          <w:color w:val="auto"/>
          <w:spacing w:val="8"/>
          <w:sz w:val="23"/>
          <w:szCs w:val="23"/>
          <w:highlight w:val="none"/>
        </w:rPr>
        <w:t>根据《政府采购促进中小企业</w:t>
      </w:r>
      <w:r>
        <w:rPr>
          <w:rFonts w:hint="eastAsia" w:ascii="仿宋" w:hAnsi="仿宋" w:eastAsia="仿宋" w:cs="仿宋"/>
          <w:color w:val="auto"/>
          <w:spacing w:val="7"/>
          <w:sz w:val="23"/>
          <w:szCs w:val="23"/>
          <w:highlight w:val="none"/>
        </w:rPr>
        <w:t>发展管理办法》（财库</w:t>
      </w:r>
      <w:r>
        <w:rPr>
          <w:rFonts w:hint="eastAsia" w:ascii="仿宋" w:hAnsi="仿宋" w:eastAsia="仿宋" w:cs="仿宋"/>
          <w:color w:val="auto"/>
          <w:spacing w:val="-5"/>
          <w:sz w:val="23"/>
          <w:szCs w:val="23"/>
          <w:highlight w:val="none"/>
        </w:rPr>
        <w:t>〔2020〕</w:t>
      </w:r>
      <w:r>
        <w:rPr>
          <w:rFonts w:hint="eastAsia" w:ascii="仿宋" w:hAnsi="仿宋" w:eastAsia="仿宋" w:cs="仿宋"/>
          <w:color w:val="auto"/>
          <w:spacing w:val="-54"/>
          <w:sz w:val="23"/>
          <w:szCs w:val="23"/>
          <w:highlight w:val="none"/>
        </w:rPr>
        <w:t xml:space="preserve"> </w:t>
      </w:r>
      <w:r>
        <w:rPr>
          <w:rFonts w:hint="eastAsia" w:ascii="仿宋" w:hAnsi="仿宋" w:eastAsia="仿宋" w:cs="仿宋"/>
          <w:color w:val="auto"/>
          <w:spacing w:val="-5"/>
          <w:sz w:val="23"/>
          <w:szCs w:val="23"/>
          <w:highlight w:val="none"/>
        </w:rPr>
        <w:t>[2020]46号）的规定，本公司（联合体）参加（单位名称）的（项目名称）采</w:t>
      </w:r>
      <w:r>
        <w:rPr>
          <w:rFonts w:hint="eastAsia" w:ascii="仿宋" w:hAnsi="仿宋" w:eastAsia="仿宋" w:cs="仿宋"/>
          <w:color w:val="auto"/>
          <w:spacing w:val="5"/>
          <w:sz w:val="23"/>
          <w:szCs w:val="23"/>
          <w:highlight w:val="none"/>
        </w:rPr>
        <w:t>购活动，工程的施工单位全部为符合政策要求的中小企业（或者：服务全部由符合政策</w:t>
      </w:r>
      <w:r>
        <w:rPr>
          <w:rFonts w:hint="eastAsia" w:ascii="仿宋" w:hAnsi="仿宋" w:eastAsia="仿宋" w:cs="仿宋"/>
          <w:color w:val="auto"/>
          <w:spacing w:val="8"/>
          <w:sz w:val="23"/>
          <w:szCs w:val="23"/>
          <w:highlight w:val="none"/>
        </w:rPr>
        <w:t>要求的中小企业承接</w:t>
      </w:r>
      <w:r>
        <w:rPr>
          <w:rFonts w:hint="eastAsia" w:ascii="仿宋" w:hAnsi="仿宋" w:eastAsia="仿宋" w:cs="仿宋"/>
          <w:color w:val="auto"/>
          <w:spacing w:val="8"/>
          <w:sz w:val="23"/>
          <w:szCs w:val="23"/>
          <w:highlight w:val="none"/>
          <w:lang w:eastAsia="zh-CN"/>
        </w:rPr>
        <w:t>）</w:t>
      </w:r>
      <w:r>
        <w:rPr>
          <w:rFonts w:hint="eastAsia" w:ascii="仿宋" w:hAnsi="仿宋" w:eastAsia="仿宋" w:cs="仿宋"/>
          <w:color w:val="auto"/>
          <w:spacing w:val="8"/>
          <w:sz w:val="23"/>
          <w:szCs w:val="23"/>
          <w:highlight w:val="none"/>
        </w:rPr>
        <w:t>相关企业（含联合体中的中小企业、签订分包意向协议的中小</w:t>
      </w:r>
      <w:r>
        <w:rPr>
          <w:rFonts w:hint="eastAsia" w:ascii="仿宋" w:hAnsi="仿宋" w:eastAsia="仿宋" w:cs="仿宋"/>
          <w:color w:val="auto"/>
          <w:spacing w:val="3"/>
          <w:sz w:val="23"/>
          <w:szCs w:val="23"/>
          <w:highlight w:val="none"/>
        </w:rPr>
        <w:t>企业）的具体情况如下：</w:t>
      </w:r>
    </w:p>
    <w:p w14:paraId="77BC6471">
      <w:pPr>
        <w:spacing w:before="262" w:line="374" w:lineRule="auto"/>
        <w:ind w:left="5" w:firstLine="517"/>
        <w:jc w:val="both"/>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1.（标的名称</w:t>
      </w:r>
      <w:r>
        <w:rPr>
          <w:rFonts w:hint="eastAsia" w:ascii="仿宋" w:hAnsi="仿宋" w:eastAsia="仿宋" w:cs="仿宋"/>
          <w:color w:val="auto"/>
          <w:spacing w:val="-40"/>
          <w:sz w:val="23"/>
          <w:szCs w:val="23"/>
          <w:highlight w:val="none"/>
        </w:rPr>
        <w:t>），</w:t>
      </w:r>
      <w:r>
        <w:rPr>
          <w:rFonts w:hint="eastAsia" w:ascii="仿宋" w:hAnsi="仿宋" w:eastAsia="仿宋" w:cs="仿宋"/>
          <w:color w:val="auto"/>
          <w:spacing w:val="-5"/>
          <w:sz w:val="23"/>
          <w:szCs w:val="23"/>
          <w:highlight w:val="none"/>
        </w:rPr>
        <w:t xml:space="preserve"> </w:t>
      </w:r>
      <w:r>
        <w:rPr>
          <w:rFonts w:hint="eastAsia" w:ascii="仿宋" w:hAnsi="仿宋" w:eastAsia="仿宋" w:cs="仿宋"/>
          <w:color w:val="auto"/>
          <w:spacing w:val="6"/>
          <w:sz w:val="23"/>
          <w:szCs w:val="23"/>
          <w:highlight w:val="none"/>
        </w:rPr>
        <w:t>属于</w:t>
      </w:r>
      <w:r>
        <w:rPr>
          <w:rFonts w:hint="eastAsia" w:ascii="仿宋" w:hAnsi="仿宋" w:eastAsia="仿宋" w:cs="仿宋"/>
          <w:color w:val="auto"/>
          <w:spacing w:val="6"/>
          <w:sz w:val="23"/>
          <w:szCs w:val="23"/>
          <w:highlight w:val="none"/>
          <w:u w:val="single"/>
          <w:lang w:val="en-US" w:eastAsia="zh-CN"/>
        </w:rPr>
        <w:t xml:space="preserve">     </w:t>
      </w:r>
      <w:r>
        <w:rPr>
          <w:rFonts w:hint="eastAsia" w:ascii="仿宋" w:hAnsi="仿宋" w:eastAsia="仿宋" w:cs="仿宋"/>
          <w:color w:val="auto"/>
          <w:spacing w:val="6"/>
          <w:sz w:val="23"/>
          <w:szCs w:val="23"/>
          <w:highlight w:val="none"/>
        </w:rPr>
        <w:t>（采购文件中明确的所属行业</w:t>
      </w:r>
      <w:r>
        <w:rPr>
          <w:rFonts w:hint="eastAsia" w:ascii="仿宋" w:hAnsi="仿宋" w:eastAsia="仿宋" w:cs="仿宋"/>
          <w:color w:val="auto"/>
          <w:spacing w:val="-40"/>
          <w:sz w:val="23"/>
          <w:szCs w:val="23"/>
          <w:highlight w:val="none"/>
        </w:rPr>
        <w:t>）；</w:t>
      </w:r>
      <w:r>
        <w:rPr>
          <w:rFonts w:hint="eastAsia" w:ascii="仿宋" w:hAnsi="仿宋" w:eastAsia="仿宋" w:cs="仿宋"/>
          <w:color w:val="auto"/>
          <w:spacing w:val="-9"/>
          <w:sz w:val="23"/>
          <w:szCs w:val="23"/>
          <w:highlight w:val="none"/>
        </w:rPr>
        <w:t xml:space="preserve"> </w:t>
      </w:r>
      <w:r>
        <w:rPr>
          <w:rFonts w:hint="eastAsia" w:ascii="仿宋" w:hAnsi="仿宋" w:eastAsia="仿宋" w:cs="仿宋"/>
          <w:color w:val="auto"/>
          <w:spacing w:val="6"/>
          <w:sz w:val="23"/>
          <w:szCs w:val="23"/>
          <w:highlight w:val="none"/>
        </w:rPr>
        <w:t>承建（承接）企业为（</w:t>
      </w:r>
      <w:r>
        <w:rPr>
          <w:rFonts w:hint="eastAsia" w:ascii="仿宋" w:hAnsi="仿宋" w:eastAsia="仿宋" w:cs="仿宋"/>
          <w:color w:val="auto"/>
          <w:spacing w:val="6"/>
          <w:sz w:val="23"/>
          <w:szCs w:val="23"/>
          <w:highlight w:val="none"/>
          <w:u w:val="single"/>
        </w:rPr>
        <w:t>企</w:t>
      </w:r>
      <w:r>
        <w:rPr>
          <w:rFonts w:hint="eastAsia" w:ascii="仿宋" w:hAnsi="仿宋" w:eastAsia="仿宋" w:cs="仿宋"/>
          <w:color w:val="auto"/>
          <w:spacing w:val="4"/>
          <w:sz w:val="23"/>
          <w:szCs w:val="23"/>
          <w:highlight w:val="none"/>
          <w:u w:val="single"/>
        </w:rPr>
        <w:t>业名称</w:t>
      </w:r>
      <w:r>
        <w:rPr>
          <w:rFonts w:hint="eastAsia" w:ascii="仿宋" w:hAnsi="仿宋" w:eastAsia="仿宋" w:cs="仿宋"/>
          <w:color w:val="auto"/>
          <w:spacing w:val="14"/>
          <w:sz w:val="23"/>
          <w:szCs w:val="23"/>
          <w:highlight w:val="none"/>
        </w:rPr>
        <w:t>），</w:t>
      </w:r>
      <w:r>
        <w:rPr>
          <w:rFonts w:hint="eastAsia" w:ascii="仿宋" w:hAnsi="仿宋" w:eastAsia="仿宋" w:cs="仿宋"/>
          <w:color w:val="auto"/>
          <w:spacing w:val="4"/>
          <w:sz w:val="23"/>
          <w:szCs w:val="23"/>
          <w:highlight w:val="none"/>
        </w:rPr>
        <w:t>从业人员</w:t>
      </w:r>
      <w:r>
        <w:rPr>
          <w:rFonts w:hint="eastAsia" w:ascii="仿宋" w:hAnsi="仿宋" w:eastAsia="仿宋" w:cs="仿宋"/>
          <w:color w:val="auto"/>
          <w:spacing w:val="4"/>
          <w:sz w:val="23"/>
          <w:szCs w:val="23"/>
          <w:highlight w:val="none"/>
          <w:u w:val="single"/>
        </w:rPr>
        <w:t xml:space="preserve">    </w:t>
      </w:r>
      <w:r>
        <w:rPr>
          <w:rFonts w:hint="eastAsia" w:ascii="仿宋" w:hAnsi="仿宋" w:eastAsia="仿宋" w:cs="仿宋"/>
          <w:color w:val="auto"/>
          <w:spacing w:val="4"/>
          <w:sz w:val="23"/>
          <w:szCs w:val="23"/>
          <w:highlight w:val="none"/>
        </w:rPr>
        <w:t>人， 营业收入为</w:t>
      </w:r>
      <w:r>
        <w:rPr>
          <w:rFonts w:hint="eastAsia" w:ascii="仿宋" w:hAnsi="仿宋" w:eastAsia="仿宋" w:cs="仿宋"/>
          <w:color w:val="auto"/>
          <w:spacing w:val="4"/>
          <w:sz w:val="23"/>
          <w:szCs w:val="23"/>
          <w:highlight w:val="none"/>
          <w:u w:val="single"/>
        </w:rPr>
        <w:t xml:space="preserve">    </w:t>
      </w:r>
      <w:r>
        <w:rPr>
          <w:rFonts w:hint="eastAsia" w:ascii="仿宋" w:hAnsi="仿宋" w:eastAsia="仿宋" w:cs="仿宋"/>
          <w:color w:val="auto"/>
          <w:spacing w:val="4"/>
          <w:sz w:val="23"/>
          <w:szCs w:val="23"/>
          <w:highlight w:val="none"/>
        </w:rPr>
        <w:t>万元，资产总额为</w:t>
      </w:r>
      <w:r>
        <w:rPr>
          <w:rFonts w:hint="eastAsia" w:ascii="仿宋" w:hAnsi="仿宋" w:eastAsia="仿宋" w:cs="仿宋"/>
          <w:color w:val="auto"/>
          <w:spacing w:val="4"/>
          <w:sz w:val="23"/>
          <w:szCs w:val="23"/>
          <w:highlight w:val="none"/>
          <w:u w:val="single"/>
        </w:rPr>
        <w:t xml:space="preserve">    </w:t>
      </w:r>
      <w:r>
        <w:rPr>
          <w:rFonts w:hint="eastAsia" w:ascii="仿宋" w:hAnsi="仿宋" w:eastAsia="仿宋" w:cs="仿宋"/>
          <w:color w:val="auto"/>
          <w:spacing w:val="4"/>
          <w:sz w:val="23"/>
          <w:szCs w:val="23"/>
          <w:highlight w:val="none"/>
        </w:rPr>
        <w:t>万元，属于</w:t>
      </w:r>
      <w:r>
        <w:rPr>
          <w:rFonts w:hint="eastAsia" w:ascii="仿宋" w:hAnsi="仿宋" w:eastAsia="仿宋" w:cs="仿宋"/>
          <w:color w:val="auto"/>
          <w:spacing w:val="4"/>
          <w:sz w:val="23"/>
          <w:szCs w:val="23"/>
          <w:highlight w:val="none"/>
          <w:u w:val="single"/>
          <w:lang w:val="en-US" w:eastAsia="zh-CN"/>
        </w:rPr>
        <w:t xml:space="preserve">      </w:t>
      </w:r>
      <w:r>
        <w:rPr>
          <w:rFonts w:hint="eastAsia" w:ascii="仿宋" w:hAnsi="仿宋" w:eastAsia="仿宋" w:cs="仿宋"/>
          <w:color w:val="auto"/>
          <w:spacing w:val="4"/>
          <w:sz w:val="23"/>
          <w:szCs w:val="23"/>
          <w:highlight w:val="none"/>
        </w:rPr>
        <w:t>（中型</w:t>
      </w:r>
      <w:r>
        <w:rPr>
          <w:rFonts w:hint="eastAsia" w:ascii="仿宋" w:hAnsi="仿宋" w:eastAsia="仿宋" w:cs="仿宋"/>
          <w:color w:val="auto"/>
          <w:spacing w:val="7"/>
          <w:sz w:val="23"/>
          <w:szCs w:val="23"/>
          <w:highlight w:val="none"/>
        </w:rPr>
        <w:t>企业、小型企业、微型企业</w:t>
      </w:r>
      <w:r>
        <w:rPr>
          <w:rFonts w:hint="eastAsia" w:ascii="仿宋" w:hAnsi="仿宋" w:eastAsia="仿宋" w:cs="仿宋"/>
          <w:color w:val="auto"/>
          <w:sz w:val="23"/>
          <w:szCs w:val="23"/>
          <w:highlight w:val="none"/>
        </w:rPr>
        <w:t>）；</w:t>
      </w:r>
    </w:p>
    <w:p w14:paraId="00229221">
      <w:pPr>
        <w:spacing w:before="262" w:line="374" w:lineRule="auto"/>
        <w:ind w:left="5" w:firstLine="517"/>
        <w:jc w:val="both"/>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1.（标的名称</w:t>
      </w:r>
      <w:r>
        <w:rPr>
          <w:rFonts w:hint="eastAsia" w:ascii="仿宋" w:hAnsi="仿宋" w:eastAsia="仿宋" w:cs="仿宋"/>
          <w:color w:val="auto"/>
          <w:spacing w:val="-40"/>
          <w:sz w:val="23"/>
          <w:szCs w:val="23"/>
          <w:highlight w:val="none"/>
        </w:rPr>
        <w:t>），</w:t>
      </w:r>
      <w:r>
        <w:rPr>
          <w:rFonts w:hint="eastAsia" w:ascii="仿宋" w:hAnsi="仿宋" w:eastAsia="仿宋" w:cs="仿宋"/>
          <w:color w:val="auto"/>
          <w:spacing w:val="-5"/>
          <w:sz w:val="23"/>
          <w:szCs w:val="23"/>
          <w:highlight w:val="none"/>
        </w:rPr>
        <w:t xml:space="preserve"> </w:t>
      </w:r>
      <w:r>
        <w:rPr>
          <w:rFonts w:hint="eastAsia" w:ascii="仿宋" w:hAnsi="仿宋" w:eastAsia="仿宋" w:cs="仿宋"/>
          <w:color w:val="auto"/>
          <w:spacing w:val="6"/>
          <w:sz w:val="23"/>
          <w:szCs w:val="23"/>
          <w:highlight w:val="none"/>
        </w:rPr>
        <w:t>属于</w:t>
      </w:r>
      <w:r>
        <w:rPr>
          <w:rFonts w:hint="eastAsia" w:ascii="仿宋" w:hAnsi="仿宋" w:eastAsia="仿宋" w:cs="仿宋"/>
          <w:color w:val="auto"/>
          <w:spacing w:val="6"/>
          <w:sz w:val="23"/>
          <w:szCs w:val="23"/>
          <w:highlight w:val="none"/>
          <w:u w:val="single"/>
          <w:lang w:val="en-US" w:eastAsia="zh-CN"/>
        </w:rPr>
        <w:t xml:space="preserve">     </w:t>
      </w:r>
      <w:r>
        <w:rPr>
          <w:rFonts w:hint="eastAsia" w:ascii="仿宋" w:hAnsi="仿宋" w:eastAsia="仿宋" w:cs="仿宋"/>
          <w:color w:val="auto"/>
          <w:spacing w:val="6"/>
          <w:sz w:val="23"/>
          <w:szCs w:val="23"/>
          <w:highlight w:val="none"/>
        </w:rPr>
        <w:t>（采购文件中明确的所属行业</w:t>
      </w:r>
      <w:r>
        <w:rPr>
          <w:rFonts w:hint="eastAsia" w:ascii="仿宋" w:hAnsi="仿宋" w:eastAsia="仿宋" w:cs="仿宋"/>
          <w:color w:val="auto"/>
          <w:spacing w:val="-40"/>
          <w:sz w:val="23"/>
          <w:szCs w:val="23"/>
          <w:highlight w:val="none"/>
        </w:rPr>
        <w:t>）；</w:t>
      </w:r>
      <w:r>
        <w:rPr>
          <w:rFonts w:hint="eastAsia" w:ascii="仿宋" w:hAnsi="仿宋" w:eastAsia="仿宋" w:cs="仿宋"/>
          <w:color w:val="auto"/>
          <w:spacing w:val="-9"/>
          <w:sz w:val="23"/>
          <w:szCs w:val="23"/>
          <w:highlight w:val="none"/>
        </w:rPr>
        <w:t xml:space="preserve"> </w:t>
      </w:r>
      <w:r>
        <w:rPr>
          <w:rFonts w:hint="eastAsia" w:ascii="仿宋" w:hAnsi="仿宋" w:eastAsia="仿宋" w:cs="仿宋"/>
          <w:color w:val="auto"/>
          <w:spacing w:val="6"/>
          <w:sz w:val="23"/>
          <w:szCs w:val="23"/>
          <w:highlight w:val="none"/>
        </w:rPr>
        <w:t>承建（承接）企业为（</w:t>
      </w:r>
      <w:r>
        <w:rPr>
          <w:rFonts w:hint="eastAsia" w:ascii="仿宋" w:hAnsi="仿宋" w:eastAsia="仿宋" w:cs="仿宋"/>
          <w:color w:val="auto"/>
          <w:spacing w:val="6"/>
          <w:sz w:val="23"/>
          <w:szCs w:val="23"/>
          <w:highlight w:val="none"/>
          <w:u w:val="single"/>
        </w:rPr>
        <w:t>企</w:t>
      </w:r>
      <w:r>
        <w:rPr>
          <w:rFonts w:hint="eastAsia" w:ascii="仿宋" w:hAnsi="仿宋" w:eastAsia="仿宋" w:cs="仿宋"/>
          <w:color w:val="auto"/>
          <w:spacing w:val="4"/>
          <w:sz w:val="23"/>
          <w:szCs w:val="23"/>
          <w:highlight w:val="none"/>
          <w:u w:val="single"/>
        </w:rPr>
        <w:t>业名称</w:t>
      </w:r>
      <w:r>
        <w:rPr>
          <w:rFonts w:hint="eastAsia" w:ascii="仿宋" w:hAnsi="仿宋" w:eastAsia="仿宋" w:cs="仿宋"/>
          <w:color w:val="auto"/>
          <w:spacing w:val="14"/>
          <w:sz w:val="23"/>
          <w:szCs w:val="23"/>
          <w:highlight w:val="none"/>
        </w:rPr>
        <w:t>），</w:t>
      </w:r>
      <w:r>
        <w:rPr>
          <w:rFonts w:hint="eastAsia" w:ascii="仿宋" w:hAnsi="仿宋" w:eastAsia="仿宋" w:cs="仿宋"/>
          <w:color w:val="auto"/>
          <w:spacing w:val="4"/>
          <w:sz w:val="23"/>
          <w:szCs w:val="23"/>
          <w:highlight w:val="none"/>
        </w:rPr>
        <w:t>从业人员</w:t>
      </w:r>
      <w:r>
        <w:rPr>
          <w:rFonts w:hint="eastAsia" w:ascii="仿宋" w:hAnsi="仿宋" w:eastAsia="仿宋" w:cs="仿宋"/>
          <w:color w:val="auto"/>
          <w:spacing w:val="4"/>
          <w:sz w:val="23"/>
          <w:szCs w:val="23"/>
          <w:highlight w:val="none"/>
          <w:u w:val="single"/>
        </w:rPr>
        <w:t xml:space="preserve">    </w:t>
      </w:r>
      <w:r>
        <w:rPr>
          <w:rFonts w:hint="eastAsia" w:ascii="仿宋" w:hAnsi="仿宋" w:eastAsia="仿宋" w:cs="仿宋"/>
          <w:color w:val="auto"/>
          <w:spacing w:val="4"/>
          <w:sz w:val="23"/>
          <w:szCs w:val="23"/>
          <w:highlight w:val="none"/>
        </w:rPr>
        <w:t>人， 营业收入为</w:t>
      </w:r>
      <w:r>
        <w:rPr>
          <w:rFonts w:hint="eastAsia" w:ascii="仿宋" w:hAnsi="仿宋" w:eastAsia="仿宋" w:cs="仿宋"/>
          <w:color w:val="auto"/>
          <w:spacing w:val="4"/>
          <w:sz w:val="23"/>
          <w:szCs w:val="23"/>
          <w:highlight w:val="none"/>
          <w:u w:val="single"/>
        </w:rPr>
        <w:t xml:space="preserve">    </w:t>
      </w:r>
      <w:r>
        <w:rPr>
          <w:rFonts w:hint="eastAsia" w:ascii="仿宋" w:hAnsi="仿宋" w:eastAsia="仿宋" w:cs="仿宋"/>
          <w:color w:val="auto"/>
          <w:spacing w:val="4"/>
          <w:sz w:val="23"/>
          <w:szCs w:val="23"/>
          <w:highlight w:val="none"/>
        </w:rPr>
        <w:t>万元，资产总额为</w:t>
      </w:r>
      <w:r>
        <w:rPr>
          <w:rFonts w:hint="eastAsia" w:ascii="仿宋" w:hAnsi="仿宋" w:eastAsia="仿宋" w:cs="仿宋"/>
          <w:color w:val="auto"/>
          <w:spacing w:val="4"/>
          <w:sz w:val="23"/>
          <w:szCs w:val="23"/>
          <w:highlight w:val="none"/>
          <w:u w:val="single"/>
        </w:rPr>
        <w:t xml:space="preserve">    </w:t>
      </w:r>
      <w:r>
        <w:rPr>
          <w:rFonts w:hint="eastAsia" w:ascii="仿宋" w:hAnsi="仿宋" w:eastAsia="仿宋" w:cs="仿宋"/>
          <w:color w:val="auto"/>
          <w:spacing w:val="4"/>
          <w:sz w:val="23"/>
          <w:szCs w:val="23"/>
          <w:highlight w:val="none"/>
        </w:rPr>
        <w:t>万元，属于</w:t>
      </w:r>
      <w:r>
        <w:rPr>
          <w:rFonts w:hint="eastAsia" w:ascii="仿宋" w:hAnsi="仿宋" w:eastAsia="仿宋" w:cs="仿宋"/>
          <w:color w:val="auto"/>
          <w:spacing w:val="4"/>
          <w:sz w:val="23"/>
          <w:szCs w:val="23"/>
          <w:highlight w:val="none"/>
          <w:u w:val="single"/>
          <w:lang w:val="en-US" w:eastAsia="zh-CN"/>
        </w:rPr>
        <w:t xml:space="preserve">      </w:t>
      </w:r>
      <w:r>
        <w:rPr>
          <w:rFonts w:hint="eastAsia" w:ascii="仿宋" w:hAnsi="仿宋" w:eastAsia="仿宋" w:cs="仿宋"/>
          <w:color w:val="auto"/>
          <w:spacing w:val="4"/>
          <w:sz w:val="23"/>
          <w:szCs w:val="23"/>
          <w:highlight w:val="none"/>
        </w:rPr>
        <w:t>（中型</w:t>
      </w:r>
      <w:r>
        <w:rPr>
          <w:rFonts w:hint="eastAsia" w:ascii="仿宋" w:hAnsi="仿宋" w:eastAsia="仿宋" w:cs="仿宋"/>
          <w:color w:val="auto"/>
          <w:spacing w:val="7"/>
          <w:sz w:val="23"/>
          <w:szCs w:val="23"/>
          <w:highlight w:val="none"/>
        </w:rPr>
        <w:t>企业、小型企业、微型企业</w:t>
      </w:r>
      <w:r>
        <w:rPr>
          <w:rFonts w:hint="eastAsia" w:ascii="仿宋" w:hAnsi="仿宋" w:eastAsia="仿宋" w:cs="仿宋"/>
          <w:color w:val="auto"/>
          <w:sz w:val="23"/>
          <w:szCs w:val="23"/>
          <w:highlight w:val="none"/>
        </w:rPr>
        <w:t>）；</w:t>
      </w:r>
    </w:p>
    <w:p w14:paraId="34126A4A">
      <w:pPr>
        <w:spacing w:before="247" w:line="485" w:lineRule="exact"/>
        <w:jc w:val="center"/>
        <w:rPr>
          <w:rFonts w:hint="eastAsia" w:ascii="仿宋" w:hAnsi="仿宋" w:eastAsia="仿宋" w:cs="仿宋"/>
          <w:color w:val="auto"/>
          <w:sz w:val="23"/>
          <w:szCs w:val="23"/>
          <w:highlight w:val="none"/>
        </w:rPr>
      </w:pPr>
      <w:r>
        <w:rPr>
          <w:rFonts w:hint="eastAsia" w:ascii="仿宋" w:hAnsi="仿宋" w:eastAsia="仿宋" w:cs="仿宋"/>
          <w:color w:val="auto"/>
          <w:position w:val="19"/>
          <w:sz w:val="23"/>
          <w:szCs w:val="23"/>
          <w:highlight w:val="none"/>
        </w:rPr>
        <w:t>以上企业， 不属于大企业的分支机构， 不存在控股股东为大企业的情形，也不存在</w:t>
      </w:r>
    </w:p>
    <w:p w14:paraId="31DB9F12">
      <w:pPr>
        <w:spacing w:before="1" w:line="227" w:lineRule="auto"/>
        <w:ind w:left="11"/>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与大企业的负责人为同一人的情形。</w:t>
      </w:r>
    </w:p>
    <w:p w14:paraId="073A1D35">
      <w:pPr>
        <w:spacing w:before="252" w:line="561" w:lineRule="exact"/>
        <w:ind w:left="485"/>
        <w:rPr>
          <w:rFonts w:hint="eastAsia" w:ascii="仿宋" w:hAnsi="仿宋" w:eastAsia="仿宋" w:cs="仿宋"/>
          <w:color w:val="auto"/>
          <w:sz w:val="23"/>
          <w:szCs w:val="23"/>
          <w:highlight w:val="none"/>
        </w:rPr>
      </w:pPr>
      <w:r>
        <w:rPr>
          <w:rFonts w:hint="eastAsia" w:ascii="仿宋" w:hAnsi="仿宋" w:eastAsia="仿宋" w:cs="仿宋"/>
          <w:color w:val="auto"/>
          <w:spacing w:val="5"/>
          <w:position w:val="25"/>
          <w:sz w:val="23"/>
          <w:szCs w:val="23"/>
          <w:highlight w:val="none"/>
        </w:rPr>
        <w:t>本企业对上述声明内容的真实性负责。如有虚假， 将依法承担相应责任。</w:t>
      </w:r>
    </w:p>
    <w:p w14:paraId="3868AAFC">
      <w:pPr>
        <w:spacing w:before="1" w:line="226" w:lineRule="auto"/>
        <w:ind w:left="5770"/>
        <w:rPr>
          <w:rFonts w:hint="eastAsia" w:ascii="仿宋" w:hAnsi="仿宋" w:eastAsia="仿宋" w:cs="仿宋"/>
          <w:color w:val="auto"/>
          <w:sz w:val="23"/>
          <w:szCs w:val="23"/>
          <w:highlight w:val="none"/>
        </w:rPr>
      </w:pPr>
      <w:r>
        <w:rPr>
          <w:rFonts w:hint="eastAsia" w:ascii="仿宋" w:hAnsi="仿宋" w:eastAsia="仿宋" w:cs="仿宋"/>
          <w:color w:val="auto"/>
          <w:spacing w:val="6"/>
          <w:sz w:val="23"/>
          <w:szCs w:val="23"/>
          <w:highlight w:val="none"/>
        </w:rPr>
        <w:t>企业名称（盖章</w:t>
      </w:r>
      <w:r>
        <w:rPr>
          <w:rFonts w:hint="eastAsia" w:ascii="仿宋" w:hAnsi="仿宋" w:eastAsia="仿宋" w:cs="仿宋"/>
          <w:color w:val="auto"/>
          <w:spacing w:val="-10"/>
          <w:sz w:val="23"/>
          <w:szCs w:val="23"/>
          <w:highlight w:val="none"/>
        </w:rPr>
        <w:t>）：</w:t>
      </w:r>
    </w:p>
    <w:p w14:paraId="025F3365">
      <w:pPr>
        <w:spacing w:before="267" w:line="228" w:lineRule="auto"/>
        <w:ind w:left="5846"/>
        <w:rPr>
          <w:rFonts w:hint="eastAsia" w:ascii="仿宋" w:hAnsi="仿宋" w:eastAsia="仿宋" w:cs="仿宋"/>
          <w:color w:val="auto"/>
          <w:sz w:val="23"/>
          <w:szCs w:val="23"/>
          <w:highlight w:val="none"/>
        </w:rPr>
      </w:pPr>
      <w:r>
        <w:rPr>
          <w:rFonts w:hint="eastAsia" w:ascii="仿宋" w:hAnsi="仿宋" w:eastAsia="仿宋" w:cs="仿宋"/>
          <w:color w:val="auto"/>
          <w:spacing w:val="-16"/>
          <w:sz w:val="23"/>
          <w:szCs w:val="23"/>
          <w:highlight w:val="none"/>
        </w:rPr>
        <w:t>日期：</w:t>
      </w:r>
    </w:p>
    <w:p w14:paraId="79F198B2">
      <w:pPr>
        <w:spacing w:line="228" w:lineRule="auto"/>
        <w:rPr>
          <w:rFonts w:hint="eastAsia" w:ascii="仿宋" w:hAnsi="仿宋" w:eastAsia="仿宋" w:cs="仿宋"/>
          <w:color w:val="auto"/>
          <w:sz w:val="23"/>
          <w:szCs w:val="23"/>
          <w:highlight w:val="none"/>
        </w:rPr>
      </w:pPr>
    </w:p>
    <w:p w14:paraId="791C0DAC">
      <w:pPr>
        <w:pStyle w:val="27"/>
        <w:rPr>
          <w:rFonts w:hint="eastAsia" w:ascii="仿宋" w:hAnsi="仿宋" w:eastAsia="仿宋" w:cs="仿宋"/>
          <w:color w:val="auto"/>
          <w:sz w:val="23"/>
          <w:szCs w:val="23"/>
          <w:highlight w:val="none"/>
        </w:rPr>
      </w:pPr>
    </w:p>
    <w:p w14:paraId="7C7044C7">
      <w:pPr>
        <w:pStyle w:val="27"/>
        <w:rPr>
          <w:rFonts w:hint="eastAsia" w:ascii="仿宋" w:hAnsi="仿宋" w:eastAsia="仿宋" w:cs="仿宋"/>
          <w:color w:val="auto"/>
          <w:sz w:val="23"/>
          <w:szCs w:val="23"/>
          <w:highlight w:val="none"/>
        </w:rPr>
      </w:pPr>
    </w:p>
    <w:p w14:paraId="45D4FFD5">
      <w:pPr>
        <w:pStyle w:val="27"/>
        <w:rPr>
          <w:rFonts w:hint="eastAsia" w:ascii="仿宋" w:hAnsi="仿宋" w:eastAsia="仿宋" w:cs="仿宋"/>
          <w:color w:val="auto"/>
          <w:sz w:val="23"/>
          <w:szCs w:val="23"/>
          <w:highlight w:val="none"/>
        </w:rPr>
      </w:pPr>
    </w:p>
    <w:p w14:paraId="0B8957C5">
      <w:pPr>
        <w:spacing w:before="252" w:line="561" w:lineRule="exact"/>
        <w:ind w:left="485"/>
        <w:rPr>
          <w:rFonts w:hint="eastAsia" w:ascii="仿宋" w:hAnsi="仿宋" w:eastAsia="仿宋" w:cs="仿宋"/>
          <w:color w:val="auto"/>
          <w:spacing w:val="5"/>
          <w:position w:val="25"/>
          <w:sz w:val="23"/>
          <w:szCs w:val="23"/>
          <w:highlight w:val="none"/>
          <w:lang w:val="en-US" w:eastAsia="zh-CN"/>
        </w:rPr>
      </w:pPr>
      <w:r>
        <w:rPr>
          <w:rFonts w:hint="eastAsia" w:ascii="仿宋" w:hAnsi="仿宋" w:eastAsia="仿宋" w:cs="仿宋"/>
          <w:color w:val="auto"/>
          <w:spacing w:val="5"/>
          <w:position w:val="25"/>
          <w:sz w:val="23"/>
          <w:szCs w:val="23"/>
          <w:highlight w:val="none"/>
          <w:lang w:val="en-US" w:eastAsia="zh-CN"/>
        </w:rPr>
        <w:t>注：从业人员、营业收入、资产总额填报上一年度数据，无上一年度数据的新成立企业可不填报。</w:t>
      </w:r>
    </w:p>
    <w:p w14:paraId="353CCDC7">
      <w:pPr>
        <w:pStyle w:val="27"/>
        <w:rPr>
          <w:rFonts w:hint="eastAsia" w:ascii="仿宋" w:hAnsi="仿宋" w:eastAsia="仿宋" w:cs="仿宋"/>
          <w:color w:val="auto"/>
          <w:sz w:val="23"/>
          <w:szCs w:val="23"/>
          <w:highlight w:val="none"/>
        </w:rPr>
      </w:pPr>
    </w:p>
    <w:p w14:paraId="07238B64">
      <w:pPr>
        <w:pStyle w:val="27"/>
        <w:rPr>
          <w:rFonts w:hint="eastAsia" w:ascii="仿宋" w:hAnsi="仿宋" w:eastAsia="仿宋" w:cs="仿宋"/>
          <w:color w:val="auto"/>
          <w:sz w:val="23"/>
          <w:szCs w:val="23"/>
          <w:highlight w:val="none"/>
        </w:rPr>
      </w:pPr>
    </w:p>
    <w:p w14:paraId="1204968C">
      <w:pPr>
        <w:pStyle w:val="27"/>
        <w:rPr>
          <w:rFonts w:hint="eastAsia" w:ascii="仿宋" w:hAnsi="仿宋" w:eastAsia="仿宋" w:cs="仿宋"/>
          <w:color w:val="auto"/>
          <w:sz w:val="23"/>
          <w:szCs w:val="23"/>
          <w:highlight w:val="none"/>
        </w:rPr>
      </w:pPr>
    </w:p>
    <w:p w14:paraId="76977007">
      <w:pPr>
        <w:pStyle w:val="27"/>
        <w:rPr>
          <w:rFonts w:hint="eastAsia" w:ascii="仿宋" w:hAnsi="仿宋" w:eastAsia="仿宋" w:cs="仿宋"/>
          <w:color w:val="auto"/>
          <w:sz w:val="23"/>
          <w:szCs w:val="23"/>
          <w:highlight w:val="none"/>
        </w:rPr>
      </w:pPr>
    </w:p>
    <w:p w14:paraId="568DE575">
      <w:pPr>
        <w:pStyle w:val="27"/>
        <w:rPr>
          <w:rFonts w:hint="eastAsia" w:ascii="仿宋" w:hAnsi="仿宋" w:eastAsia="仿宋" w:cs="仿宋"/>
          <w:color w:val="auto"/>
          <w:sz w:val="23"/>
          <w:szCs w:val="23"/>
          <w:highlight w:val="none"/>
        </w:rPr>
      </w:pPr>
    </w:p>
    <w:p w14:paraId="505D9A1F">
      <w:pPr>
        <w:pStyle w:val="27"/>
        <w:rPr>
          <w:rFonts w:hint="eastAsia" w:ascii="仿宋" w:hAnsi="仿宋" w:eastAsia="仿宋" w:cs="仿宋"/>
          <w:color w:val="auto"/>
          <w:sz w:val="23"/>
          <w:szCs w:val="23"/>
          <w:highlight w:val="none"/>
        </w:rPr>
      </w:pPr>
    </w:p>
    <w:p w14:paraId="79724380">
      <w:pPr>
        <w:pStyle w:val="27"/>
        <w:rPr>
          <w:rFonts w:hint="eastAsia" w:ascii="仿宋" w:hAnsi="仿宋" w:eastAsia="仿宋" w:cs="仿宋"/>
          <w:color w:val="auto"/>
          <w:sz w:val="23"/>
          <w:szCs w:val="23"/>
          <w:highlight w:val="none"/>
        </w:rPr>
      </w:pPr>
    </w:p>
    <w:p w14:paraId="6AA09A14">
      <w:pPr>
        <w:pStyle w:val="27"/>
        <w:rPr>
          <w:rFonts w:hint="eastAsia" w:ascii="仿宋" w:hAnsi="仿宋" w:eastAsia="仿宋" w:cs="仿宋"/>
          <w:color w:val="auto"/>
          <w:sz w:val="23"/>
          <w:szCs w:val="23"/>
          <w:highlight w:val="none"/>
        </w:rPr>
      </w:pPr>
    </w:p>
    <w:p w14:paraId="2CFF0239">
      <w:pPr>
        <w:pStyle w:val="27"/>
        <w:rPr>
          <w:rFonts w:hint="eastAsia" w:ascii="仿宋" w:hAnsi="仿宋" w:eastAsia="仿宋" w:cs="仿宋"/>
          <w:color w:val="auto"/>
          <w:sz w:val="23"/>
          <w:szCs w:val="23"/>
          <w:highlight w:val="none"/>
        </w:rPr>
      </w:pPr>
    </w:p>
    <w:p w14:paraId="5465DBC5">
      <w:pPr>
        <w:pStyle w:val="27"/>
        <w:rPr>
          <w:rFonts w:hint="eastAsia" w:ascii="仿宋" w:hAnsi="仿宋" w:eastAsia="仿宋" w:cs="仿宋"/>
          <w:color w:val="auto"/>
          <w:sz w:val="23"/>
          <w:szCs w:val="23"/>
          <w:highlight w:val="none"/>
        </w:rPr>
      </w:pPr>
    </w:p>
    <w:p w14:paraId="25901284">
      <w:pPr>
        <w:spacing w:before="75" w:line="192" w:lineRule="auto"/>
        <w:rPr>
          <w:rFonts w:hint="eastAsia" w:ascii="仿宋" w:hAnsi="仿宋" w:eastAsia="仿宋" w:cs="仿宋"/>
          <w:color w:val="auto"/>
          <w:spacing w:val="7"/>
          <w:sz w:val="23"/>
          <w:szCs w:val="23"/>
          <w:highlight w:val="none"/>
          <w:lang w:val="en-US" w:eastAsia="zh-CN"/>
        </w:rPr>
      </w:pPr>
    </w:p>
    <w:p w14:paraId="4F013CDF">
      <w:pPr>
        <w:spacing w:before="75" w:line="192" w:lineRule="auto"/>
        <w:rPr>
          <w:rFonts w:hint="eastAsia" w:ascii="仿宋" w:hAnsi="仿宋" w:eastAsia="仿宋" w:cs="仿宋"/>
          <w:color w:val="auto"/>
          <w:spacing w:val="7"/>
          <w:sz w:val="23"/>
          <w:szCs w:val="23"/>
          <w:highlight w:val="none"/>
          <w:lang w:val="en-US" w:eastAsia="zh-CN"/>
        </w:rPr>
      </w:pPr>
    </w:p>
    <w:p w14:paraId="2E43B342">
      <w:pPr>
        <w:spacing w:before="75" w:line="192" w:lineRule="auto"/>
        <w:rPr>
          <w:rFonts w:hint="eastAsia" w:ascii="仿宋" w:hAnsi="仿宋" w:eastAsia="仿宋" w:cs="仿宋"/>
          <w:color w:val="auto"/>
          <w:spacing w:val="7"/>
          <w:sz w:val="23"/>
          <w:szCs w:val="23"/>
          <w:highlight w:val="none"/>
          <w:lang w:val="en-US" w:eastAsia="zh-CN"/>
        </w:rPr>
      </w:pPr>
    </w:p>
    <w:p w14:paraId="062611C4">
      <w:pPr>
        <w:spacing w:before="75" w:line="192" w:lineRule="auto"/>
        <w:rPr>
          <w:rFonts w:hint="eastAsia" w:ascii="仿宋" w:hAnsi="仿宋" w:eastAsia="仿宋" w:cs="仿宋"/>
          <w:color w:val="auto"/>
          <w:spacing w:val="7"/>
          <w:sz w:val="23"/>
          <w:szCs w:val="23"/>
          <w:highlight w:val="none"/>
          <w:lang w:val="en-US" w:eastAsia="zh-CN"/>
        </w:rPr>
      </w:pPr>
    </w:p>
    <w:p w14:paraId="51A880AD">
      <w:pPr>
        <w:numPr>
          <w:ilvl w:val="0"/>
          <w:numId w:val="8"/>
        </w:numPr>
        <w:spacing w:before="75" w:line="192" w:lineRule="auto"/>
        <w:jc w:val="center"/>
        <w:rPr>
          <w:rFonts w:hint="eastAsia" w:ascii="仿宋" w:hAnsi="仿宋" w:eastAsia="仿宋" w:cs="仿宋"/>
          <w:color w:val="auto"/>
          <w:spacing w:val="7"/>
          <w:sz w:val="23"/>
          <w:szCs w:val="23"/>
          <w:highlight w:val="none"/>
        </w:rPr>
      </w:pPr>
      <w:r>
        <w:rPr>
          <w:rFonts w:hint="eastAsia" w:ascii="仿宋" w:hAnsi="仿宋" w:eastAsia="仿宋" w:cs="仿宋"/>
          <w:color w:val="auto"/>
          <w:spacing w:val="7"/>
          <w:sz w:val="23"/>
          <w:szCs w:val="23"/>
          <w:highlight w:val="none"/>
        </w:rPr>
        <w:t>供应商须知资料表要求的其他文件</w:t>
      </w:r>
    </w:p>
    <w:sectPr>
      <w:footerReference r:id="rId38" w:type="default"/>
      <w:pgSz w:w="11905" w:h="16838"/>
      <w:pgMar w:top="1020" w:right="1134" w:bottom="1020" w:left="1134" w:header="0" w:footer="573"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1012A">
    <w:pPr>
      <w:pStyle w:val="8"/>
      <w:tabs>
        <w:tab w:val="left" w:pos="4801"/>
        <w:tab w:val="clear" w:pos="4153"/>
      </w:tabs>
      <w:ind w:right="0"/>
      <w:jc w:val="both"/>
    </w:pPr>
    <w:r>
      <w:rPr>
        <w:sz w:val="1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C6912A">
                          <w:pPr>
                            <w:pStyle w:val="8"/>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6C6912A">
                    <w:pPr>
                      <w:pStyle w:val="8"/>
                    </w:pPr>
                  </w:p>
                </w:txbxContent>
              </v:textbox>
            </v:shape>
          </w:pict>
        </mc:Fallback>
      </mc:AlternateContent>
    </w:r>
    <w:r>
      <w:rPr>
        <w:sz w:val="16"/>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BDA922">
                          <w:pPr>
                            <w:keepNext w:val="0"/>
                            <w:keepLines w:val="0"/>
                            <w:pageBreakBefore w:val="0"/>
                            <w:widowControl w:val="0"/>
                            <w:kinsoku/>
                            <w:wordWrap/>
                            <w:overflowPunct/>
                            <w:topLinePunct w:val="0"/>
                            <w:bidi w:val="0"/>
                            <w:adjustRightInd/>
                            <w:snapToGrid w:val="0"/>
                            <w:textAlignment w:val="auto"/>
                            <w:rPr>
                              <w:rFonts w:hint="eastAsia" w:eastAsia="宋体"/>
                              <w:lang w:val="en-US" w:eastAsia="zh-CN"/>
                            </w:rPr>
                          </w:pPr>
                        </w:p>
                      </w:txbxContent>
                    </wps:txbx>
                    <wps:bodyPr wrap="none"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1lQJY9AAAAAFAQAADwAAAAAAAAABACAAAAAiAAAAZHJzL2Rvd25yZXYueG1sUEsBAhQAFAAAAAgA&#10;h07iQC963f+7AQAAfwMAAA4AAAAAAAAAAQAgAAAAHwEAAGRycy9lMm9Eb2MueG1sUEsFBgAAAAAG&#10;AAYAWQEAAEwFAAAAAA==&#10;">
              <v:fill on="f" focussize="0,0"/>
              <v:stroke on="f"/>
              <v:imagedata o:title=""/>
              <o:lock v:ext="edit" aspectratio="f"/>
              <v:textbox inset="0mm,0mm,0mm,0mm">
                <w:txbxContent>
                  <w:p w14:paraId="36BDA922">
                    <w:pPr>
                      <w:keepNext w:val="0"/>
                      <w:keepLines w:val="0"/>
                      <w:pageBreakBefore w:val="0"/>
                      <w:widowControl w:val="0"/>
                      <w:kinsoku/>
                      <w:wordWrap/>
                      <w:overflowPunct/>
                      <w:topLinePunct w:val="0"/>
                      <w:bidi w:val="0"/>
                      <w:adjustRightInd/>
                      <w:snapToGrid w:val="0"/>
                      <w:textAlignment w:val="auto"/>
                      <w:rPr>
                        <w:rFonts w:hint="eastAsia" w:eastAsia="宋体"/>
                        <w:lang w:val="en-US" w:eastAsia="zh-CN"/>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4CFFF">
    <w:pPr>
      <w:spacing w:line="184" w:lineRule="auto"/>
      <w:ind w:left="409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BC1D0E">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CBC1D0E">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B4DB2">
    <w:pPr>
      <w:spacing w:line="184" w:lineRule="auto"/>
      <w:ind w:left="444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A6909">
                          <w:pPr>
                            <w:pStyle w:val="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46A6909">
                    <w:pPr>
                      <w:pStyle w:val="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BCA85">
    <w:pPr>
      <w:spacing w:line="184" w:lineRule="auto"/>
      <w:ind w:left="44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BE825">
                          <w:pPr>
                            <w:pStyle w:val="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437BE825">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1843F">
    <w:pPr>
      <w:spacing w:line="184" w:lineRule="auto"/>
      <w:ind w:left="444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CA52E">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97CA52E">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3806B">
    <w:pPr>
      <w:spacing w:line="181" w:lineRule="auto"/>
      <w:ind w:left="44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3001F">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CB3001F">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178CD">
    <w:pPr>
      <w:spacing w:line="184" w:lineRule="auto"/>
      <w:ind w:left="444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348B7">
                          <w:pPr>
                            <w:pStyle w:val="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D5348B7">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7E17A">
    <w:pPr>
      <w:spacing w:line="181" w:lineRule="auto"/>
      <w:ind w:left="444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7E663">
                          <w:pPr>
                            <w:pStyle w:val="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A97E663">
                    <w:pPr>
                      <w:pStyle w:val="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61B2C">
    <w:pPr>
      <w:spacing w:line="184" w:lineRule="auto"/>
      <w:ind w:left="450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7BA91C">
                          <w:pPr>
                            <w:pStyle w:val="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47BA91C">
                    <w:pPr>
                      <w:pStyle w:val="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4FD27">
    <w:pPr>
      <w:spacing w:line="184" w:lineRule="auto"/>
      <w:ind w:left="409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732C">
                          <w:pPr>
                            <w:pStyle w:val="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116732C">
                    <w:pPr>
                      <w:pStyle w:val="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F1EFC">
    <w:pPr>
      <w:spacing w:line="184" w:lineRule="auto"/>
      <w:ind w:left="423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5E99AF">
                          <w:pPr>
                            <w:pStyle w:val="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E5E99AF">
                    <w:pPr>
                      <w:pStyle w:val="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14EE">
    <w:pPr>
      <w:spacing w:line="184" w:lineRule="auto"/>
      <w:ind w:left="4497"/>
      <w:rPr>
        <w:rFonts w:ascii="Times New Roman" w:hAnsi="Times New Roman" w:eastAsia="Times New Roman" w:cs="Times New Roman"/>
        <w:sz w:val="17"/>
        <w:szCs w:val="17"/>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4B0F2">
    <w:pPr>
      <w:spacing w:line="184"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BA5D6">
                          <w:pPr>
                            <w:pStyle w:val="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BCBA5D6">
                    <w:pPr>
                      <w:pStyle w:val="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22860">
    <w:pPr>
      <w:spacing w:line="184"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518A6">
                          <w:pPr>
                            <w:pStyle w:val="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ED518A6">
                    <w:pPr>
                      <w:pStyle w:val="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D50CB">
    <w:pPr>
      <w:spacing w:line="184" w:lineRule="auto"/>
      <w:ind w:left="41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CB254">
                          <w:pPr>
                            <w:pStyle w:val="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0ACB254">
                    <w:pPr>
                      <w:pStyle w:val="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9F880">
    <w:pPr>
      <w:spacing w:line="184"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3AF61">
                          <w:pPr>
                            <w:pStyle w:val="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C23AF61">
                    <w:pPr>
                      <w:pStyle w:val="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0DB6A">
    <w:pPr>
      <w:spacing w:line="184"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8CB37">
                          <w:pPr>
                            <w:pStyle w:val="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7DF8CB37">
                    <w:pPr>
                      <w:pStyle w:val="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5ED89">
    <w:pPr>
      <w:spacing w:line="184"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6D7C1">
                          <w:pPr>
                            <w:pStyle w:val="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1CB6D7C1">
                    <w:pPr>
                      <w:pStyle w:val="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F120F">
    <w:pPr>
      <w:spacing w:line="184" w:lineRule="auto"/>
      <w:ind w:left="409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3F9B2">
                          <w:pPr>
                            <w:pStyle w:val="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6A3F9B2">
                    <w:pPr>
                      <w:pStyle w:val="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35846">
    <w:pPr>
      <w:pStyle w:val="4"/>
      <w:spacing w:line="184" w:lineRule="auto"/>
      <w:ind w:left="4763"/>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BBE4E">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0BBE4E">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71C29">
    <w:pPr>
      <w:spacing w:line="184" w:lineRule="auto"/>
      <w:ind w:left="444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C8615">
                          <w:pPr>
                            <w:pStyle w:val="8"/>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22C8615">
                    <w:pPr>
                      <w:pStyle w:val="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D0E13">
    <w:pPr>
      <w:spacing w:line="184" w:lineRule="auto"/>
      <w:ind w:left="443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B6E98">
                          <w:pPr>
                            <w:pStyle w:val="8"/>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7B2B6E98">
                    <w:pPr>
                      <w:pStyle w:val="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EDD94">
    <w:pPr>
      <w:spacing w:line="184" w:lineRule="auto"/>
      <w:ind w:left="49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D039B">
                          <w:pPr>
                            <w:pStyle w:val="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B2D039B">
                    <w:pPr>
                      <w:pStyle w:val="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5B122">
    <w:pPr>
      <w:spacing w:line="181"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1B0D0">
                          <w:pPr>
                            <w:pStyle w:val="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EB1B0D0">
                    <w:pPr>
                      <w:pStyle w:val="8"/>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0D01B">
    <w:pPr>
      <w:spacing w:line="184" w:lineRule="auto"/>
      <w:ind w:left="444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09658">
                          <w:pPr>
                            <w:pStyle w:val="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4C09658">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B950C">
    <w:pPr>
      <w:spacing w:line="184" w:lineRule="auto"/>
      <w:ind w:left="457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C2FDF">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8CC2FDF">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1F1F1">
    <w:pPr>
      <w:spacing w:line="184" w:lineRule="auto"/>
      <w:ind w:left="444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0FDF4">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8C0FDF4">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A8F40">
    <w:pPr>
      <w:spacing w:line="184" w:lineRule="auto"/>
      <w:ind w:left="444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0A109">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370A109">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673FA">
    <w:pPr>
      <w:spacing w:line="184" w:lineRule="auto"/>
      <w:ind w:left="447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BBC89">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3ABBC89">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C7F0D">
    <w:pPr>
      <w:spacing w:line="184" w:lineRule="auto"/>
      <w:ind w:left="447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67F64">
                          <w:pPr>
                            <w:pStyle w:val="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6F67F64">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2D863">
    <w:pPr>
      <w:pStyle w:val="9"/>
      <w:pBdr>
        <w:bottom w:val="none" w:color="auto" w:sz="0" w:space="0"/>
      </w:pBdr>
      <w:tabs>
        <w:tab w:val="clear" w:pos="4153"/>
        <w:tab w:val="clear" w:pos="8306"/>
      </w:tabs>
      <w:rPr>
        <w:rFonts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34A9E">
    <w:pPr>
      <w:pStyle w:val="4"/>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6BDC3">
    <w:pPr>
      <w:pStyle w:val="4"/>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63614">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DD6A8"/>
    <w:multiLevelType w:val="singleLevel"/>
    <w:tmpl w:val="88DDD6A8"/>
    <w:lvl w:ilvl="0" w:tentative="0">
      <w:start w:val="1"/>
      <w:numFmt w:val="decimal"/>
      <w:suff w:val="nothing"/>
      <w:lvlText w:val="%1、"/>
      <w:lvlJc w:val="left"/>
      <w:pPr>
        <w:ind w:left="105" w:leftChars="0" w:firstLine="0" w:firstLineChars="0"/>
      </w:pPr>
    </w:lvl>
  </w:abstractNum>
  <w:abstractNum w:abstractNumId="1">
    <w:nsid w:val="AD07D1F3"/>
    <w:multiLevelType w:val="singleLevel"/>
    <w:tmpl w:val="AD07D1F3"/>
    <w:lvl w:ilvl="0" w:tentative="0">
      <w:start w:val="1"/>
      <w:numFmt w:val="decimal"/>
      <w:suff w:val="nothing"/>
      <w:lvlText w:val="%1、"/>
      <w:lvlJc w:val="left"/>
    </w:lvl>
  </w:abstractNum>
  <w:abstractNum w:abstractNumId="2">
    <w:nsid w:val="CDB4000D"/>
    <w:multiLevelType w:val="singleLevel"/>
    <w:tmpl w:val="CDB4000D"/>
    <w:lvl w:ilvl="0" w:tentative="0">
      <w:start w:val="10"/>
      <w:numFmt w:val="decimal"/>
      <w:lvlText w:val="%1."/>
      <w:lvlJc w:val="left"/>
      <w:pPr>
        <w:tabs>
          <w:tab w:val="left" w:pos="312"/>
        </w:tabs>
      </w:pPr>
    </w:lvl>
  </w:abstractNum>
  <w:abstractNum w:abstractNumId="3">
    <w:nsid w:val="02F2522F"/>
    <w:multiLevelType w:val="singleLevel"/>
    <w:tmpl w:val="02F2522F"/>
    <w:lvl w:ilvl="0" w:tentative="0">
      <w:start w:val="12"/>
      <w:numFmt w:val="decimal"/>
      <w:lvlText w:val="%1."/>
      <w:lvlJc w:val="left"/>
      <w:pPr>
        <w:tabs>
          <w:tab w:val="left" w:pos="312"/>
        </w:tabs>
      </w:pPr>
    </w:lvl>
  </w:abstractNum>
  <w:abstractNum w:abstractNumId="4">
    <w:nsid w:val="13768426"/>
    <w:multiLevelType w:val="singleLevel"/>
    <w:tmpl w:val="13768426"/>
    <w:lvl w:ilvl="0" w:tentative="0">
      <w:start w:val="6"/>
      <w:numFmt w:val="decimal"/>
      <w:lvlText w:val="%1."/>
      <w:lvlJc w:val="left"/>
      <w:pPr>
        <w:tabs>
          <w:tab w:val="left" w:pos="312"/>
        </w:tabs>
      </w:pPr>
    </w:lvl>
  </w:abstractNum>
  <w:abstractNum w:abstractNumId="5">
    <w:nsid w:val="1529352D"/>
    <w:multiLevelType w:val="singleLevel"/>
    <w:tmpl w:val="1529352D"/>
    <w:lvl w:ilvl="0" w:tentative="0">
      <w:start w:val="1"/>
      <w:numFmt w:val="chineseCounting"/>
      <w:suff w:val="space"/>
      <w:lvlText w:val="第%1部分"/>
      <w:lvlJc w:val="left"/>
      <w:rPr>
        <w:rFonts w:hint="eastAsia"/>
      </w:rPr>
    </w:lvl>
  </w:abstractNum>
  <w:abstractNum w:abstractNumId="6">
    <w:nsid w:val="56849A0E"/>
    <w:multiLevelType w:val="singleLevel"/>
    <w:tmpl w:val="56849A0E"/>
    <w:lvl w:ilvl="0" w:tentative="0">
      <w:start w:val="7"/>
      <w:numFmt w:val="decimal"/>
      <w:suff w:val="space"/>
      <w:lvlText w:val="%1、"/>
      <w:lvlJc w:val="left"/>
    </w:lvl>
  </w:abstractNum>
  <w:abstractNum w:abstractNumId="7">
    <w:nsid w:val="57D51997"/>
    <w:multiLevelType w:val="singleLevel"/>
    <w:tmpl w:val="57D51997"/>
    <w:lvl w:ilvl="0" w:tentative="0">
      <w:start w:val="1"/>
      <w:numFmt w:val="decimal"/>
      <w:suff w:val="nothing"/>
      <w:lvlText w:val="%1、"/>
      <w:lvlJc w:val="left"/>
    </w:lvl>
  </w:abstractNum>
  <w:num w:numId="1">
    <w:abstractNumId w:val="5"/>
  </w:num>
  <w:num w:numId="2">
    <w:abstractNumId w:val="1"/>
  </w:num>
  <w:num w:numId="3">
    <w:abstractNumId w:val="0"/>
  </w:num>
  <w:num w:numId="4">
    <w:abstractNumId w:val="7"/>
  </w:num>
  <w:num w:numId="5">
    <w:abstractNumId w:val="4"/>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GI2NTRmNTk1YTgyNzEwN2FjZDFjZjI3YTQ1M2NjY2IifQ=="/>
  </w:docVars>
  <w:rsids>
    <w:rsidRoot w:val="00000000"/>
    <w:rsid w:val="000B44D3"/>
    <w:rsid w:val="003C28DE"/>
    <w:rsid w:val="004C26AA"/>
    <w:rsid w:val="007F27CB"/>
    <w:rsid w:val="0090104E"/>
    <w:rsid w:val="009222C1"/>
    <w:rsid w:val="00A81D22"/>
    <w:rsid w:val="00CD1788"/>
    <w:rsid w:val="00DA3EA5"/>
    <w:rsid w:val="01233A9E"/>
    <w:rsid w:val="01325A8F"/>
    <w:rsid w:val="0142114E"/>
    <w:rsid w:val="01465996"/>
    <w:rsid w:val="015754F6"/>
    <w:rsid w:val="0160084E"/>
    <w:rsid w:val="016C055C"/>
    <w:rsid w:val="017165B7"/>
    <w:rsid w:val="018C519F"/>
    <w:rsid w:val="018F6A3E"/>
    <w:rsid w:val="01A6056A"/>
    <w:rsid w:val="01BF5575"/>
    <w:rsid w:val="01CC51CF"/>
    <w:rsid w:val="01D66A1A"/>
    <w:rsid w:val="01D803E5"/>
    <w:rsid w:val="02467A44"/>
    <w:rsid w:val="024F4BE1"/>
    <w:rsid w:val="02783976"/>
    <w:rsid w:val="028C1771"/>
    <w:rsid w:val="029702A0"/>
    <w:rsid w:val="02CB7F49"/>
    <w:rsid w:val="02E627AF"/>
    <w:rsid w:val="02FC6355"/>
    <w:rsid w:val="03066A72"/>
    <w:rsid w:val="030855B1"/>
    <w:rsid w:val="03261624"/>
    <w:rsid w:val="03343D40"/>
    <w:rsid w:val="03344F48"/>
    <w:rsid w:val="03F6755F"/>
    <w:rsid w:val="040A1242"/>
    <w:rsid w:val="0415231B"/>
    <w:rsid w:val="04245B63"/>
    <w:rsid w:val="042E69E2"/>
    <w:rsid w:val="043B10FF"/>
    <w:rsid w:val="043F474B"/>
    <w:rsid w:val="04620439"/>
    <w:rsid w:val="04826BF4"/>
    <w:rsid w:val="049F168E"/>
    <w:rsid w:val="04AC145E"/>
    <w:rsid w:val="04AC286E"/>
    <w:rsid w:val="04C31FFF"/>
    <w:rsid w:val="04D23811"/>
    <w:rsid w:val="04D56E5D"/>
    <w:rsid w:val="04DA0918"/>
    <w:rsid w:val="05096B07"/>
    <w:rsid w:val="052749F0"/>
    <w:rsid w:val="052D0A47"/>
    <w:rsid w:val="05300538"/>
    <w:rsid w:val="05614B95"/>
    <w:rsid w:val="05665C27"/>
    <w:rsid w:val="05821538"/>
    <w:rsid w:val="058A7C48"/>
    <w:rsid w:val="05A50F26"/>
    <w:rsid w:val="05C0366A"/>
    <w:rsid w:val="05E659B3"/>
    <w:rsid w:val="05E82BC0"/>
    <w:rsid w:val="060F0EFD"/>
    <w:rsid w:val="062736E9"/>
    <w:rsid w:val="068B011B"/>
    <w:rsid w:val="069468A4"/>
    <w:rsid w:val="06DA4BFF"/>
    <w:rsid w:val="06E23AB3"/>
    <w:rsid w:val="06E269EF"/>
    <w:rsid w:val="07172F45"/>
    <w:rsid w:val="07220A51"/>
    <w:rsid w:val="07222102"/>
    <w:rsid w:val="072B7F2A"/>
    <w:rsid w:val="07391925"/>
    <w:rsid w:val="07577FFE"/>
    <w:rsid w:val="077C5CB6"/>
    <w:rsid w:val="078F7797"/>
    <w:rsid w:val="07A11D12"/>
    <w:rsid w:val="07D7416A"/>
    <w:rsid w:val="07E40A09"/>
    <w:rsid w:val="07E42956"/>
    <w:rsid w:val="08253C58"/>
    <w:rsid w:val="0831084F"/>
    <w:rsid w:val="083843C6"/>
    <w:rsid w:val="085E2DCF"/>
    <w:rsid w:val="086F6467"/>
    <w:rsid w:val="0878647D"/>
    <w:rsid w:val="088E7A4F"/>
    <w:rsid w:val="089E3A0A"/>
    <w:rsid w:val="08F1073B"/>
    <w:rsid w:val="097E607E"/>
    <w:rsid w:val="097F55EA"/>
    <w:rsid w:val="09945539"/>
    <w:rsid w:val="09994E96"/>
    <w:rsid w:val="09B21FBE"/>
    <w:rsid w:val="09B434E5"/>
    <w:rsid w:val="09CE6BD1"/>
    <w:rsid w:val="09DA1AB3"/>
    <w:rsid w:val="09EA33AB"/>
    <w:rsid w:val="0A041F36"/>
    <w:rsid w:val="0A0A75A9"/>
    <w:rsid w:val="0A2C751F"/>
    <w:rsid w:val="0A2D3298"/>
    <w:rsid w:val="0A4A3E4A"/>
    <w:rsid w:val="0A5672F3"/>
    <w:rsid w:val="0A595E3B"/>
    <w:rsid w:val="0A621193"/>
    <w:rsid w:val="0A782765"/>
    <w:rsid w:val="0A805ABD"/>
    <w:rsid w:val="0A825D85"/>
    <w:rsid w:val="0A87597A"/>
    <w:rsid w:val="0A8B481B"/>
    <w:rsid w:val="0AC059D1"/>
    <w:rsid w:val="0B0009AC"/>
    <w:rsid w:val="0B6C7DF0"/>
    <w:rsid w:val="0B754EF6"/>
    <w:rsid w:val="0B782770"/>
    <w:rsid w:val="0B927856"/>
    <w:rsid w:val="0B995089"/>
    <w:rsid w:val="0BB7550F"/>
    <w:rsid w:val="0BD25EA5"/>
    <w:rsid w:val="0BD45B7C"/>
    <w:rsid w:val="0BFF2A12"/>
    <w:rsid w:val="0C22507E"/>
    <w:rsid w:val="0C57284E"/>
    <w:rsid w:val="0C6A07D3"/>
    <w:rsid w:val="0C6D3E1F"/>
    <w:rsid w:val="0C8E2713"/>
    <w:rsid w:val="0CC9374C"/>
    <w:rsid w:val="0CE140B1"/>
    <w:rsid w:val="0CE57E5A"/>
    <w:rsid w:val="0CEA36C2"/>
    <w:rsid w:val="0CFA1B57"/>
    <w:rsid w:val="0CFE2CC9"/>
    <w:rsid w:val="0CFF716D"/>
    <w:rsid w:val="0D072181"/>
    <w:rsid w:val="0D0E73B0"/>
    <w:rsid w:val="0D2127F1"/>
    <w:rsid w:val="0D2564A8"/>
    <w:rsid w:val="0D2E6CFE"/>
    <w:rsid w:val="0D3112F1"/>
    <w:rsid w:val="0D336E17"/>
    <w:rsid w:val="0D576E9C"/>
    <w:rsid w:val="0D6A1A9C"/>
    <w:rsid w:val="0D6E7E4F"/>
    <w:rsid w:val="0D70006B"/>
    <w:rsid w:val="0D7336B7"/>
    <w:rsid w:val="0D9D70D4"/>
    <w:rsid w:val="0DE325EB"/>
    <w:rsid w:val="0DF447F8"/>
    <w:rsid w:val="0DFF4F4B"/>
    <w:rsid w:val="0E307169"/>
    <w:rsid w:val="0E4A4418"/>
    <w:rsid w:val="0E667FD6"/>
    <w:rsid w:val="0E6F16A9"/>
    <w:rsid w:val="0E741495"/>
    <w:rsid w:val="0E796AAB"/>
    <w:rsid w:val="0ED34D48"/>
    <w:rsid w:val="0ED55194"/>
    <w:rsid w:val="0EDD528C"/>
    <w:rsid w:val="0EF10D38"/>
    <w:rsid w:val="0EF36245"/>
    <w:rsid w:val="0EF3685E"/>
    <w:rsid w:val="0EF56D77"/>
    <w:rsid w:val="0F01138E"/>
    <w:rsid w:val="0F0942D3"/>
    <w:rsid w:val="0F0F7410"/>
    <w:rsid w:val="0F19203C"/>
    <w:rsid w:val="0F326CAC"/>
    <w:rsid w:val="0F6D4209"/>
    <w:rsid w:val="0F857C3F"/>
    <w:rsid w:val="0FCC70AF"/>
    <w:rsid w:val="0FD83CA6"/>
    <w:rsid w:val="0FDA2FF1"/>
    <w:rsid w:val="0FE046FA"/>
    <w:rsid w:val="0FEE3074"/>
    <w:rsid w:val="0FFA3C1C"/>
    <w:rsid w:val="101130BD"/>
    <w:rsid w:val="10305890"/>
    <w:rsid w:val="10505F32"/>
    <w:rsid w:val="10571D83"/>
    <w:rsid w:val="106D0892"/>
    <w:rsid w:val="10993435"/>
    <w:rsid w:val="10A10E9D"/>
    <w:rsid w:val="10A818CA"/>
    <w:rsid w:val="10AA5642"/>
    <w:rsid w:val="10B464C1"/>
    <w:rsid w:val="10C5247C"/>
    <w:rsid w:val="10D821AF"/>
    <w:rsid w:val="10D97CD5"/>
    <w:rsid w:val="114A5E54"/>
    <w:rsid w:val="11685C9E"/>
    <w:rsid w:val="116B3023"/>
    <w:rsid w:val="117238D3"/>
    <w:rsid w:val="118C11EC"/>
    <w:rsid w:val="119360D6"/>
    <w:rsid w:val="11A55E09"/>
    <w:rsid w:val="11C82DD0"/>
    <w:rsid w:val="11CE69A5"/>
    <w:rsid w:val="120D1C32"/>
    <w:rsid w:val="12200F9C"/>
    <w:rsid w:val="12241290"/>
    <w:rsid w:val="126E36BA"/>
    <w:rsid w:val="127933AC"/>
    <w:rsid w:val="12BE3788"/>
    <w:rsid w:val="131B45D5"/>
    <w:rsid w:val="13294C42"/>
    <w:rsid w:val="13394A5B"/>
    <w:rsid w:val="13497394"/>
    <w:rsid w:val="135875D7"/>
    <w:rsid w:val="135F3736"/>
    <w:rsid w:val="136F5795"/>
    <w:rsid w:val="13781A27"/>
    <w:rsid w:val="13833F28"/>
    <w:rsid w:val="138A3509"/>
    <w:rsid w:val="139E0D62"/>
    <w:rsid w:val="13C62E3B"/>
    <w:rsid w:val="141B3F3C"/>
    <w:rsid w:val="144F1AB6"/>
    <w:rsid w:val="149527D6"/>
    <w:rsid w:val="14BD2A3A"/>
    <w:rsid w:val="14D30DD7"/>
    <w:rsid w:val="14F74BCE"/>
    <w:rsid w:val="1548367B"/>
    <w:rsid w:val="15512530"/>
    <w:rsid w:val="1559533D"/>
    <w:rsid w:val="155A3AD6"/>
    <w:rsid w:val="15655FDB"/>
    <w:rsid w:val="1570239E"/>
    <w:rsid w:val="15735A89"/>
    <w:rsid w:val="15A05265"/>
    <w:rsid w:val="15B56135"/>
    <w:rsid w:val="15F335E7"/>
    <w:rsid w:val="16024449"/>
    <w:rsid w:val="161517B0"/>
    <w:rsid w:val="16315DC9"/>
    <w:rsid w:val="16330C1C"/>
    <w:rsid w:val="164D1414"/>
    <w:rsid w:val="16556050"/>
    <w:rsid w:val="16585B40"/>
    <w:rsid w:val="16586527"/>
    <w:rsid w:val="16731205"/>
    <w:rsid w:val="16A20B69"/>
    <w:rsid w:val="17073825"/>
    <w:rsid w:val="17112A3A"/>
    <w:rsid w:val="17143FA5"/>
    <w:rsid w:val="174165D4"/>
    <w:rsid w:val="174F4909"/>
    <w:rsid w:val="175B7696"/>
    <w:rsid w:val="17771FF6"/>
    <w:rsid w:val="179C432D"/>
    <w:rsid w:val="17D30592"/>
    <w:rsid w:val="17D31922"/>
    <w:rsid w:val="17D47448"/>
    <w:rsid w:val="18440DAD"/>
    <w:rsid w:val="18463EA2"/>
    <w:rsid w:val="18925339"/>
    <w:rsid w:val="189368EA"/>
    <w:rsid w:val="18C96881"/>
    <w:rsid w:val="18CE5C46"/>
    <w:rsid w:val="18D47700"/>
    <w:rsid w:val="18DE057F"/>
    <w:rsid w:val="18F558C8"/>
    <w:rsid w:val="191D451F"/>
    <w:rsid w:val="19940C3D"/>
    <w:rsid w:val="19BF6247"/>
    <w:rsid w:val="19CF1C75"/>
    <w:rsid w:val="19D22848"/>
    <w:rsid w:val="19D2575C"/>
    <w:rsid w:val="19DD323C"/>
    <w:rsid w:val="19EE6919"/>
    <w:rsid w:val="1A023DF9"/>
    <w:rsid w:val="1A125838"/>
    <w:rsid w:val="1A196AD9"/>
    <w:rsid w:val="1A3A7A37"/>
    <w:rsid w:val="1A4209B4"/>
    <w:rsid w:val="1A7F5449"/>
    <w:rsid w:val="1A824F3A"/>
    <w:rsid w:val="1A911621"/>
    <w:rsid w:val="1AB05F4B"/>
    <w:rsid w:val="1AC16BFB"/>
    <w:rsid w:val="1ACD2659"/>
    <w:rsid w:val="1AF57E02"/>
    <w:rsid w:val="1AFC1190"/>
    <w:rsid w:val="1B012302"/>
    <w:rsid w:val="1B087B35"/>
    <w:rsid w:val="1B102545"/>
    <w:rsid w:val="1B244243"/>
    <w:rsid w:val="1B340C45"/>
    <w:rsid w:val="1B5C3E02"/>
    <w:rsid w:val="1B6603B7"/>
    <w:rsid w:val="1B6D1746"/>
    <w:rsid w:val="1B7455D9"/>
    <w:rsid w:val="1B761D43"/>
    <w:rsid w:val="1BAC6712"/>
    <w:rsid w:val="1BD3171D"/>
    <w:rsid w:val="1BE20386"/>
    <w:rsid w:val="1BEC1E47"/>
    <w:rsid w:val="1BEC2FB3"/>
    <w:rsid w:val="1BFB2021"/>
    <w:rsid w:val="1C0C0F5F"/>
    <w:rsid w:val="1C112A19"/>
    <w:rsid w:val="1C202C5C"/>
    <w:rsid w:val="1C311D50"/>
    <w:rsid w:val="1C3D380E"/>
    <w:rsid w:val="1C760ACE"/>
    <w:rsid w:val="1C85204D"/>
    <w:rsid w:val="1C8C20A0"/>
    <w:rsid w:val="1CF245F9"/>
    <w:rsid w:val="1CFC0FD3"/>
    <w:rsid w:val="1D27774D"/>
    <w:rsid w:val="1D2B7A02"/>
    <w:rsid w:val="1D425770"/>
    <w:rsid w:val="1D5801D4"/>
    <w:rsid w:val="1D6E79F7"/>
    <w:rsid w:val="1D8B2357"/>
    <w:rsid w:val="1DAB29F9"/>
    <w:rsid w:val="1DEA52D0"/>
    <w:rsid w:val="1E292B49"/>
    <w:rsid w:val="1E546419"/>
    <w:rsid w:val="1E5A7DDE"/>
    <w:rsid w:val="1E9D53FE"/>
    <w:rsid w:val="1EEC69D7"/>
    <w:rsid w:val="1EF16B46"/>
    <w:rsid w:val="1F0D5178"/>
    <w:rsid w:val="1F572E39"/>
    <w:rsid w:val="1FA0055E"/>
    <w:rsid w:val="1FA80EC2"/>
    <w:rsid w:val="1FB7272B"/>
    <w:rsid w:val="1FC45D8F"/>
    <w:rsid w:val="1FFB7C68"/>
    <w:rsid w:val="204A64FA"/>
    <w:rsid w:val="2056595D"/>
    <w:rsid w:val="205D3640"/>
    <w:rsid w:val="205E3D53"/>
    <w:rsid w:val="20611216"/>
    <w:rsid w:val="20784E15"/>
    <w:rsid w:val="20977198"/>
    <w:rsid w:val="209F6845"/>
    <w:rsid w:val="20B3409F"/>
    <w:rsid w:val="20CA763A"/>
    <w:rsid w:val="210C37AF"/>
    <w:rsid w:val="21221225"/>
    <w:rsid w:val="2128069A"/>
    <w:rsid w:val="214E201A"/>
    <w:rsid w:val="215A6C10"/>
    <w:rsid w:val="216929AF"/>
    <w:rsid w:val="218D2B42"/>
    <w:rsid w:val="21C176C0"/>
    <w:rsid w:val="21EE1107"/>
    <w:rsid w:val="22001319"/>
    <w:rsid w:val="220B7F0B"/>
    <w:rsid w:val="22104BCC"/>
    <w:rsid w:val="22123047"/>
    <w:rsid w:val="2221328A"/>
    <w:rsid w:val="222A65E3"/>
    <w:rsid w:val="223B259E"/>
    <w:rsid w:val="22421B7E"/>
    <w:rsid w:val="224B50C3"/>
    <w:rsid w:val="22677A06"/>
    <w:rsid w:val="226C1FBE"/>
    <w:rsid w:val="22965A26"/>
    <w:rsid w:val="22A0630B"/>
    <w:rsid w:val="22F91F9D"/>
    <w:rsid w:val="22FE21D5"/>
    <w:rsid w:val="2309269C"/>
    <w:rsid w:val="231C2DD3"/>
    <w:rsid w:val="23344823"/>
    <w:rsid w:val="23364536"/>
    <w:rsid w:val="23462A6F"/>
    <w:rsid w:val="236B5723"/>
    <w:rsid w:val="2376499E"/>
    <w:rsid w:val="238E0DF3"/>
    <w:rsid w:val="23BB216D"/>
    <w:rsid w:val="23DD1193"/>
    <w:rsid w:val="23DF51AB"/>
    <w:rsid w:val="23F46EA8"/>
    <w:rsid w:val="24107A5A"/>
    <w:rsid w:val="2423153B"/>
    <w:rsid w:val="246062EC"/>
    <w:rsid w:val="246E2356"/>
    <w:rsid w:val="248346B2"/>
    <w:rsid w:val="24942439"/>
    <w:rsid w:val="24AC1531"/>
    <w:rsid w:val="24AF4B7D"/>
    <w:rsid w:val="24D97E4C"/>
    <w:rsid w:val="24DD54EC"/>
    <w:rsid w:val="24ED13B4"/>
    <w:rsid w:val="25513E86"/>
    <w:rsid w:val="255B4D05"/>
    <w:rsid w:val="25665B84"/>
    <w:rsid w:val="259049AF"/>
    <w:rsid w:val="25973830"/>
    <w:rsid w:val="25B5436B"/>
    <w:rsid w:val="26483FD0"/>
    <w:rsid w:val="264F486A"/>
    <w:rsid w:val="269B185D"/>
    <w:rsid w:val="26B50445"/>
    <w:rsid w:val="26E2748C"/>
    <w:rsid w:val="26E37129"/>
    <w:rsid w:val="26EA4592"/>
    <w:rsid w:val="26EF6CED"/>
    <w:rsid w:val="26F40F6D"/>
    <w:rsid w:val="27133AE9"/>
    <w:rsid w:val="27433CA3"/>
    <w:rsid w:val="274F2728"/>
    <w:rsid w:val="27514B9C"/>
    <w:rsid w:val="27522CB9"/>
    <w:rsid w:val="275D6B12"/>
    <w:rsid w:val="277E0764"/>
    <w:rsid w:val="27826579"/>
    <w:rsid w:val="27871DE1"/>
    <w:rsid w:val="27914921"/>
    <w:rsid w:val="27A80209"/>
    <w:rsid w:val="27BD2FA7"/>
    <w:rsid w:val="27C22E19"/>
    <w:rsid w:val="27DA4607"/>
    <w:rsid w:val="27F76F67"/>
    <w:rsid w:val="280E2503"/>
    <w:rsid w:val="281713B7"/>
    <w:rsid w:val="281E59EC"/>
    <w:rsid w:val="28277120"/>
    <w:rsid w:val="283C2BCC"/>
    <w:rsid w:val="283F090E"/>
    <w:rsid w:val="285717B4"/>
    <w:rsid w:val="285964CB"/>
    <w:rsid w:val="285D5821"/>
    <w:rsid w:val="286C5012"/>
    <w:rsid w:val="287B2B53"/>
    <w:rsid w:val="28861BB6"/>
    <w:rsid w:val="28CD5F1A"/>
    <w:rsid w:val="28E13773"/>
    <w:rsid w:val="290A4A78"/>
    <w:rsid w:val="29347339"/>
    <w:rsid w:val="294D1FF0"/>
    <w:rsid w:val="298347C3"/>
    <w:rsid w:val="29992C88"/>
    <w:rsid w:val="29A529F3"/>
    <w:rsid w:val="29AC3D81"/>
    <w:rsid w:val="29AE7AF9"/>
    <w:rsid w:val="29D642F6"/>
    <w:rsid w:val="29D70DDD"/>
    <w:rsid w:val="2A0E2346"/>
    <w:rsid w:val="2A36189D"/>
    <w:rsid w:val="2A3A75DF"/>
    <w:rsid w:val="2A6C47AD"/>
    <w:rsid w:val="2AAD1B5F"/>
    <w:rsid w:val="2AAD3468"/>
    <w:rsid w:val="2AC46EA9"/>
    <w:rsid w:val="2AE8528D"/>
    <w:rsid w:val="2AF94679"/>
    <w:rsid w:val="2AFA0B1C"/>
    <w:rsid w:val="2AFC2AE6"/>
    <w:rsid w:val="2B286164"/>
    <w:rsid w:val="2B5E10AB"/>
    <w:rsid w:val="2BAA0794"/>
    <w:rsid w:val="2BC4373E"/>
    <w:rsid w:val="2BF44DCD"/>
    <w:rsid w:val="2C1856FE"/>
    <w:rsid w:val="2C6676A8"/>
    <w:rsid w:val="2C7212B2"/>
    <w:rsid w:val="2C792640"/>
    <w:rsid w:val="2C7C3EDF"/>
    <w:rsid w:val="2C842D93"/>
    <w:rsid w:val="2CDE1E9E"/>
    <w:rsid w:val="2CEA52EC"/>
    <w:rsid w:val="2CF75313"/>
    <w:rsid w:val="2D102879"/>
    <w:rsid w:val="2D200D0E"/>
    <w:rsid w:val="2D2F6099"/>
    <w:rsid w:val="2D460049"/>
    <w:rsid w:val="2D524C40"/>
    <w:rsid w:val="2D583D9B"/>
    <w:rsid w:val="2D592294"/>
    <w:rsid w:val="2D5A4AB8"/>
    <w:rsid w:val="2D5F63D5"/>
    <w:rsid w:val="2D855015"/>
    <w:rsid w:val="2D983721"/>
    <w:rsid w:val="2D986AF6"/>
    <w:rsid w:val="2DAC4350"/>
    <w:rsid w:val="2DBB4593"/>
    <w:rsid w:val="2DCA6ECC"/>
    <w:rsid w:val="2DF74E76"/>
    <w:rsid w:val="2E2A5352"/>
    <w:rsid w:val="2E794B92"/>
    <w:rsid w:val="2E7A756D"/>
    <w:rsid w:val="2EDC2A13"/>
    <w:rsid w:val="2F34284F"/>
    <w:rsid w:val="2F353EBE"/>
    <w:rsid w:val="2F8C4439"/>
    <w:rsid w:val="2FAC0824"/>
    <w:rsid w:val="2FB41BE1"/>
    <w:rsid w:val="2FDD6036"/>
    <w:rsid w:val="2FFE2E5D"/>
    <w:rsid w:val="30095E81"/>
    <w:rsid w:val="302C1778"/>
    <w:rsid w:val="30403475"/>
    <w:rsid w:val="3043418A"/>
    <w:rsid w:val="30676C54"/>
    <w:rsid w:val="30696528"/>
    <w:rsid w:val="30812888"/>
    <w:rsid w:val="30977539"/>
    <w:rsid w:val="30BB3FDF"/>
    <w:rsid w:val="30D50ED8"/>
    <w:rsid w:val="30DF4A3C"/>
    <w:rsid w:val="30F85AFE"/>
    <w:rsid w:val="30FA5E8E"/>
    <w:rsid w:val="313703D4"/>
    <w:rsid w:val="316D3B18"/>
    <w:rsid w:val="317B2D72"/>
    <w:rsid w:val="319B6BB5"/>
    <w:rsid w:val="31AA3588"/>
    <w:rsid w:val="31B9703B"/>
    <w:rsid w:val="31D04385"/>
    <w:rsid w:val="31D75713"/>
    <w:rsid w:val="31FF121D"/>
    <w:rsid w:val="322E7A29"/>
    <w:rsid w:val="324C6101"/>
    <w:rsid w:val="32674CE9"/>
    <w:rsid w:val="326F1627"/>
    <w:rsid w:val="32747406"/>
    <w:rsid w:val="32CA2337"/>
    <w:rsid w:val="32FB7F8D"/>
    <w:rsid w:val="33095DA0"/>
    <w:rsid w:val="333B6F49"/>
    <w:rsid w:val="33673AD1"/>
    <w:rsid w:val="33751688"/>
    <w:rsid w:val="3386018A"/>
    <w:rsid w:val="33A51F6D"/>
    <w:rsid w:val="33B823B2"/>
    <w:rsid w:val="33BA709B"/>
    <w:rsid w:val="33BC72B7"/>
    <w:rsid w:val="33CD4E09"/>
    <w:rsid w:val="33DB598F"/>
    <w:rsid w:val="33E224F3"/>
    <w:rsid w:val="33EF143A"/>
    <w:rsid w:val="341F1E2F"/>
    <w:rsid w:val="34232E92"/>
    <w:rsid w:val="34264730"/>
    <w:rsid w:val="346040E6"/>
    <w:rsid w:val="34876319"/>
    <w:rsid w:val="348F0527"/>
    <w:rsid w:val="34963C33"/>
    <w:rsid w:val="34B85CD0"/>
    <w:rsid w:val="34CC52D7"/>
    <w:rsid w:val="34EC5473"/>
    <w:rsid w:val="34EC7728"/>
    <w:rsid w:val="34F678C3"/>
    <w:rsid w:val="34F8431E"/>
    <w:rsid w:val="34FD0911"/>
    <w:rsid w:val="350471F1"/>
    <w:rsid w:val="35052BFF"/>
    <w:rsid w:val="352902CC"/>
    <w:rsid w:val="353F5267"/>
    <w:rsid w:val="354D466A"/>
    <w:rsid w:val="358E07DF"/>
    <w:rsid w:val="35A65B28"/>
    <w:rsid w:val="35D2691D"/>
    <w:rsid w:val="35E44D35"/>
    <w:rsid w:val="36070CBD"/>
    <w:rsid w:val="36372C24"/>
    <w:rsid w:val="36413AA3"/>
    <w:rsid w:val="365E6403"/>
    <w:rsid w:val="36694181"/>
    <w:rsid w:val="367F4CF7"/>
    <w:rsid w:val="368A5629"/>
    <w:rsid w:val="36A54032"/>
    <w:rsid w:val="36DE6652"/>
    <w:rsid w:val="36EC1C61"/>
    <w:rsid w:val="36EC3A0F"/>
    <w:rsid w:val="37024FE0"/>
    <w:rsid w:val="371D62BE"/>
    <w:rsid w:val="373C2D6C"/>
    <w:rsid w:val="37820CF0"/>
    <w:rsid w:val="37860DF0"/>
    <w:rsid w:val="37E6017D"/>
    <w:rsid w:val="37F02AF8"/>
    <w:rsid w:val="37FE7E9E"/>
    <w:rsid w:val="381A72E8"/>
    <w:rsid w:val="38425E5E"/>
    <w:rsid w:val="386817BB"/>
    <w:rsid w:val="389E6F8B"/>
    <w:rsid w:val="38C20ECB"/>
    <w:rsid w:val="38EA21D0"/>
    <w:rsid w:val="392261E9"/>
    <w:rsid w:val="394B7F80"/>
    <w:rsid w:val="39641DB2"/>
    <w:rsid w:val="398443D3"/>
    <w:rsid w:val="398E5251"/>
    <w:rsid w:val="39DE2344"/>
    <w:rsid w:val="3A390854"/>
    <w:rsid w:val="3A4361F4"/>
    <w:rsid w:val="3A465B2C"/>
    <w:rsid w:val="3A6F0BDF"/>
    <w:rsid w:val="3A802DEC"/>
    <w:rsid w:val="3AA54BA2"/>
    <w:rsid w:val="3AFC5296"/>
    <w:rsid w:val="3B01249B"/>
    <w:rsid w:val="3B4D74D4"/>
    <w:rsid w:val="3B693880"/>
    <w:rsid w:val="3B6E6CBC"/>
    <w:rsid w:val="3B6F4C0F"/>
    <w:rsid w:val="3BA7205E"/>
    <w:rsid w:val="3BDA66B2"/>
    <w:rsid w:val="3BEE1FD7"/>
    <w:rsid w:val="3C010724"/>
    <w:rsid w:val="3C215F09"/>
    <w:rsid w:val="3C277297"/>
    <w:rsid w:val="3C29300F"/>
    <w:rsid w:val="3C2F4ACA"/>
    <w:rsid w:val="3C4A1903"/>
    <w:rsid w:val="3C6717AC"/>
    <w:rsid w:val="3C956C0B"/>
    <w:rsid w:val="3C9963E7"/>
    <w:rsid w:val="3C9C75D4"/>
    <w:rsid w:val="3CBC3E83"/>
    <w:rsid w:val="3CEB6517"/>
    <w:rsid w:val="3CF81776"/>
    <w:rsid w:val="3CFA0462"/>
    <w:rsid w:val="3D145A6E"/>
    <w:rsid w:val="3D2757A1"/>
    <w:rsid w:val="3D2C1BD1"/>
    <w:rsid w:val="3D51281E"/>
    <w:rsid w:val="3D651583"/>
    <w:rsid w:val="3D69400B"/>
    <w:rsid w:val="3D8C4DF5"/>
    <w:rsid w:val="3DAC26B4"/>
    <w:rsid w:val="3DB00FA3"/>
    <w:rsid w:val="3DD61B50"/>
    <w:rsid w:val="3DE2428B"/>
    <w:rsid w:val="3DEE1050"/>
    <w:rsid w:val="3DFE0BF8"/>
    <w:rsid w:val="3E09759C"/>
    <w:rsid w:val="3E0C2BE9"/>
    <w:rsid w:val="3E241CE0"/>
    <w:rsid w:val="3E2C2497"/>
    <w:rsid w:val="3E3D5194"/>
    <w:rsid w:val="3E497999"/>
    <w:rsid w:val="3E9C21BE"/>
    <w:rsid w:val="3EC35C3B"/>
    <w:rsid w:val="3ED74FA5"/>
    <w:rsid w:val="3EF45735"/>
    <w:rsid w:val="3F010273"/>
    <w:rsid w:val="3F0B1DB5"/>
    <w:rsid w:val="3F273688"/>
    <w:rsid w:val="3F7C339C"/>
    <w:rsid w:val="3F9609BC"/>
    <w:rsid w:val="3FB107CD"/>
    <w:rsid w:val="3FD65C81"/>
    <w:rsid w:val="3FE756BB"/>
    <w:rsid w:val="404C3A38"/>
    <w:rsid w:val="406805AA"/>
    <w:rsid w:val="407E7DCE"/>
    <w:rsid w:val="409A1E25"/>
    <w:rsid w:val="40D07EFD"/>
    <w:rsid w:val="40E13EB9"/>
    <w:rsid w:val="40EE30C6"/>
    <w:rsid w:val="41052703"/>
    <w:rsid w:val="410A1661"/>
    <w:rsid w:val="410A78B3"/>
    <w:rsid w:val="413E6F6C"/>
    <w:rsid w:val="41546D80"/>
    <w:rsid w:val="416074D3"/>
    <w:rsid w:val="4162324B"/>
    <w:rsid w:val="417B60BB"/>
    <w:rsid w:val="41856869"/>
    <w:rsid w:val="41AA2E44"/>
    <w:rsid w:val="41D91034"/>
    <w:rsid w:val="41E20B4C"/>
    <w:rsid w:val="41EB6656"/>
    <w:rsid w:val="42044303"/>
    <w:rsid w:val="422D7DE0"/>
    <w:rsid w:val="423544BC"/>
    <w:rsid w:val="42470693"/>
    <w:rsid w:val="4258708D"/>
    <w:rsid w:val="426254CD"/>
    <w:rsid w:val="42725710"/>
    <w:rsid w:val="427A6373"/>
    <w:rsid w:val="42813BA5"/>
    <w:rsid w:val="428E7F40"/>
    <w:rsid w:val="42B64197"/>
    <w:rsid w:val="42D75573"/>
    <w:rsid w:val="42EF4FB3"/>
    <w:rsid w:val="43010842"/>
    <w:rsid w:val="43313D19"/>
    <w:rsid w:val="43746C04"/>
    <w:rsid w:val="43747266"/>
    <w:rsid w:val="437E1E93"/>
    <w:rsid w:val="43AC4C52"/>
    <w:rsid w:val="43CF26EE"/>
    <w:rsid w:val="43DA0739"/>
    <w:rsid w:val="43ED6CED"/>
    <w:rsid w:val="43EF4B3E"/>
    <w:rsid w:val="43F839F3"/>
    <w:rsid w:val="44254A04"/>
    <w:rsid w:val="44400487"/>
    <w:rsid w:val="4464552C"/>
    <w:rsid w:val="446C455C"/>
    <w:rsid w:val="448B0D0B"/>
    <w:rsid w:val="448F1174"/>
    <w:rsid w:val="44AB124E"/>
    <w:rsid w:val="44ED5522"/>
    <w:rsid w:val="44F56185"/>
    <w:rsid w:val="45160FB6"/>
    <w:rsid w:val="45227231"/>
    <w:rsid w:val="452B0BE5"/>
    <w:rsid w:val="45370462"/>
    <w:rsid w:val="456F4189"/>
    <w:rsid w:val="457D1464"/>
    <w:rsid w:val="45890BE9"/>
    <w:rsid w:val="458B0897"/>
    <w:rsid w:val="459736E0"/>
    <w:rsid w:val="45BC6CA2"/>
    <w:rsid w:val="45D073D5"/>
    <w:rsid w:val="45D11B88"/>
    <w:rsid w:val="45EA7CB3"/>
    <w:rsid w:val="46081558"/>
    <w:rsid w:val="460D3828"/>
    <w:rsid w:val="460F3276"/>
    <w:rsid w:val="46144781"/>
    <w:rsid w:val="46470C62"/>
    <w:rsid w:val="466E1504"/>
    <w:rsid w:val="469F0A9E"/>
    <w:rsid w:val="46C16C66"/>
    <w:rsid w:val="46C17202"/>
    <w:rsid w:val="4721486F"/>
    <w:rsid w:val="473016F6"/>
    <w:rsid w:val="4746716B"/>
    <w:rsid w:val="474A7E99"/>
    <w:rsid w:val="476A10AC"/>
    <w:rsid w:val="477D6FB4"/>
    <w:rsid w:val="47833F1C"/>
    <w:rsid w:val="47C06F1E"/>
    <w:rsid w:val="47C562E2"/>
    <w:rsid w:val="47CC1972"/>
    <w:rsid w:val="47CC58C3"/>
    <w:rsid w:val="47CD33E9"/>
    <w:rsid w:val="47EC7D13"/>
    <w:rsid w:val="487C04D9"/>
    <w:rsid w:val="488066AD"/>
    <w:rsid w:val="489839F7"/>
    <w:rsid w:val="48C90054"/>
    <w:rsid w:val="48D367EF"/>
    <w:rsid w:val="49066BB2"/>
    <w:rsid w:val="49436067"/>
    <w:rsid w:val="494F152D"/>
    <w:rsid w:val="497E2BEC"/>
    <w:rsid w:val="49DB1DED"/>
    <w:rsid w:val="49E8275C"/>
    <w:rsid w:val="49F5023E"/>
    <w:rsid w:val="4A3E05CE"/>
    <w:rsid w:val="4A407125"/>
    <w:rsid w:val="4A4437AD"/>
    <w:rsid w:val="4A6E106D"/>
    <w:rsid w:val="4A742241"/>
    <w:rsid w:val="4A972889"/>
    <w:rsid w:val="4B315A3D"/>
    <w:rsid w:val="4B475260"/>
    <w:rsid w:val="4B481704"/>
    <w:rsid w:val="4B553E21"/>
    <w:rsid w:val="4B5F6A4E"/>
    <w:rsid w:val="4B6E45AD"/>
    <w:rsid w:val="4B8D7117"/>
    <w:rsid w:val="4B95421D"/>
    <w:rsid w:val="4B9F6E4A"/>
    <w:rsid w:val="4BAB1C8A"/>
    <w:rsid w:val="4BB02E05"/>
    <w:rsid w:val="4BCE14DD"/>
    <w:rsid w:val="4BD82E1F"/>
    <w:rsid w:val="4BE60F1D"/>
    <w:rsid w:val="4BE71C41"/>
    <w:rsid w:val="4BF947AC"/>
    <w:rsid w:val="4C307D51"/>
    <w:rsid w:val="4C453E95"/>
    <w:rsid w:val="4C465F6C"/>
    <w:rsid w:val="4C4C4770"/>
    <w:rsid w:val="4C685E63"/>
    <w:rsid w:val="4C8147A2"/>
    <w:rsid w:val="4C8F4116"/>
    <w:rsid w:val="4CA74208"/>
    <w:rsid w:val="4CBF049B"/>
    <w:rsid w:val="4CD45676"/>
    <w:rsid w:val="4CDD40CE"/>
    <w:rsid w:val="4CFE5DF2"/>
    <w:rsid w:val="4D1B4BF6"/>
    <w:rsid w:val="4D4C3C6D"/>
    <w:rsid w:val="4D7F6F33"/>
    <w:rsid w:val="4D826A23"/>
    <w:rsid w:val="4D903D07"/>
    <w:rsid w:val="4D930C30"/>
    <w:rsid w:val="4DA46D97"/>
    <w:rsid w:val="4DB90697"/>
    <w:rsid w:val="4DE35714"/>
    <w:rsid w:val="4DE90850"/>
    <w:rsid w:val="4DFA480C"/>
    <w:rsid w:val="4E011E11"/>
    <w:rsid w:val="4E361CE8"/>
    <w:rsid w:val="4E710F72"/>
    <w:rsid w:val="4E76510E"/>
    <w:rsid w:val="4E9D1D67"/>
    <w:rsid w:val="4EA529C9"/>
    <w:rsid w:val="4EA72BDB"/>
    <w:rsid w:val="4EF44267"/>
    <w:rsid w:val="4F005E52"/>
    <w:rsid w:val="4F1E13DE"/>
    <w:rsid w:val="4F2E6E63"/>
    <w:rsid w:val="4F310701"/>
    <w:rsid w:val="4F42646A"/>
    <w:rsid w:val="4F5D5052"/>
    <w:rsid w:val="4F642884"/>
    <w:rsid w:val="4F936CC6"/>
    <w:rsid w:val="4F960564"/>
    <w:rsid w:val="4FAE58AE"/>
    <w:rsid w:val="4FCB6460"/>
    <w:rsid w:val="4FCE1100"/>
    <w:rsid w:val="4FDA4D58"/>
    <w:rsid w:val="4FDF22AB"/>
    <w:rsid w:val="4FFC486B"/>
    <w:rsid w:val="4FFD06E4"/>
    <w:rsid w:val="4FFF3E78"/>
    <w:rsid w:val="5000205A"/>
    <w:rsid w:val="500D0826"/>
    <w:rsid w:val="5012408F"/>
    <w:rsid w:val="501F67AB"/>
    <w:rsid w:val="50322E6E"/>
    <w:rsid w:val="50373AF5"/>
    <w:rsid w:val="504852D5"/>
    <w:rsid w:val="50C35176"/>
    <w:rsid w:val="50F53A0D"/>
    <w:rsid w:val="51510BE7"/>
    <w:rsid w:val="51556898"/>
    <w:rsid w:val="515661FD"/>
    <w:rsid w:val="51945AC3"/>
    <w:rsid w:val="51CC4711"/>
    <w:rsid w:val="51DE30A7"/>
    <w:rsid w:val="520032BA"/>
    <w:rsid w:val="520E4D2A"/>
    <w:rsid w:val="52163F05"/>
    <w:rsid w:val="5225782A"/>
    <w:rsid w:val="523A063F"/>
    <w:rsid w:val="525F116E"/>
    <w:rsid w:val="526D7CA2"/>
    <w:rsid w:val="528374C6"/>
    <w:rsid w:val="52880638"/>
    <w:rsid w:val="529671F9"/>
    <w:rsid w:val="5298047B"/>
    <w:rsid w:val="52A01E26"/>
    <w:rsid w:val="52AC2242"/>
    <w:rsid w:val="52AF2069"/>
    <w:rsid w:val="52CF6267"/>
    <w:rsid w:val="52D65847"/>
    <w:rsid w:val="52D667A0"/>
    <w:rsid w:val="5338205E"/>
    <w:rsid w:val="53405B14"/>
    <w:rsid w:val="5351034C"/>
    <w:rsid w:val="53766A5F"/>
    <w:rsid w:val="53A616BE"/>
    <w:rsid w:val="54015878"/>
    <w:rsid w:val="54177EC5"/>
    <w:rsid w:val="541E7891"/>
    <w:rsid w:val="542E520F"/>
    <w:rsid w:val="543D36A4"/>
    <w:rsid w:val="544D66EF"/>
    <w:rsid w:val="545D5AF4"/>
    <w:rsid w:val="546649A9"/>
    <w:rsid w:val="546E7D01"/>
    <w:rsid w:val="549F18C8"/>
    <w:rsid w:val="54CF4731"/>
    <w:rsid w:val="55287EB0"/>
    <w:rsid w:val="55300100"/>
    <w:rsid w:val="55456CB4"/>
    <w:rsid w:val="55823A64"/>
    <w:rsid w:val="559000EF"/>
    <w:rsid w:val="55994173"/>
    <w:rsid w:val="55A25EB5"/>
    <w:rsid w:val="55DA564E"/>
    <w:rsid w:val="56424FA2"/>
    <w:rsid w:val="566D489D"/>
    <w:rsid w:val="569D42C9"/>
    <w:rsid w:val="56D55035"/>
    <w:rsid w:val="56FF3F25"/>
    <w:rsid w:val="570861EB"/>
    <w:rsid w:val="572172AD"/>
    <w:rsid w:val="57267440"/>
    <w:rsid w:val="572B3C88"/>
    <w:rsid w:val="574C35C1"/>
    <w:rsid w:val="575E22AF"/>
    <w:rsid w:val="57692FC2"/>
    <w:rsid w:val="579E334D"/>
    <w:rsid w:val="57AE6D93"/>
    <w:rsid w:val="57EE718F"/>
    <w:rsid w:val="57F42B0E"/>
    <w:rsid w:val="581761E1"/>
    <w:rsid w:val="58240E03"/>
    <w:rsid w:val="583A6878"/>
    <w:rsid w:val="5842572D"/>
    <w:rsid w:val="586854DD"/>
    <w:rsid w:val="5895292F"/>
    <w:rsid w:val="58A91308"/>
    <w:rsid w:val="58C6549F"/>
    <w:rsid w:val="58D4133A"/>
    <w:rsid w:val="58F20F01"/>
    <w:rsid w:val="58F75435"/>
    <w:rsid w:val="592204DE"/>
    <w:rsid w:val="592A069B"/>
    <w:rsid w:val="592D32D7"/>
    <w:rsid w:val="593C2FD0"/>
    <w:rsid w:val="5976568E"/>
    <w:rsid w:val="597C6A1D"/>
    <w:rsid w:val="598F49A2"/>
    <w:rsid w:val="59BB12F3"/>
    <w:rsid w:val="59F91C43"/>
    <w:rsid w:val="59FB5B93"/>
    <w:rsid w:val="5A1D0200"/>
    <w:rsid w:val="5A2027B5"/>
    <w:rsid w:val="5A2A46CB"/>
    <w:rsid w:val="5A3E3CD2"/>
    <w:rsid w:val="5A511C57"/>
    <w:rsid w:val="5A5D684E"/>
    <w:rsid w:val="5A897643"/>
    <w:rsid w:val="5A940B0D"/>
    <w:rsid w:val="5AB06BF2"/>
    <w:rsid w:val="5AB20EF2"/>
    <w:rsid w:val="5ACA2FCB"/>
    <w:rsid w:val="5AD84127"/>
    <w:rsid w:val="5ADF6DF4"/>
    <w:rsid w:val="5B1A6503"/>
    <w:rsid w:val="5B5740BC"/>
    <w:rsid w:val="5B8A0C0A"/>
    <w:rsid w:val="5B9718EC"/>
    <w:rsid w:val="5BBC0DEB"/>
    <w:rsid w:val="5C00617F"/>
    <w:rsid w:val="5C013209"/>
    <w:rsid w:val="5C1949F7"/>
    <w:rsid w:val="5C1F78BB"/>
    <w:rsid w:val="5C207B33"/>
    <w:rsid w:val="5C4F0418"/>
    <w:rsid w:val="5C5D48E3"/>
    <w:rsid w:val="5C7165E1"/>
    <w:rsid w:val="5C9A47D1"/>
    <w:rsid w:val="5CAC586B"/>
    <w:rsid w:val="5CC6692D"/>
    <w:rsid w:val="5CCE758F"/>
    <w:rsid w:val="5CDA6464"/>
    <w:rsid w:val="5CF52D6E"/>
    <w:rsid w:val="5D1551BE"/>
    <w:rsid w:val="5D290C69"/>
    <w:rsid w:val="5D2D34F2"/>
    <w:rsid w:val="5D5061F6"/>
    <w:rsid w:val="5D755C5D"/>
    <w:rsid w:val="5D766EDE"/>
    <w:rsid w:val="5D810AA5"/>
    <w:rsid w:val="5DA0717E"/>
    <w:rsid w:val="5DF03535"/>
    <w:rsid w:val="5E665E1C"/>
    <w:rsid w:val="5EA04F5B"/>
    <w:rsid w:val="5EA4308A"/>
    <w:rsid w:val="5F131BD1"/>
    <w:rsid w:val="5F661D01"/>
    <w:rsid w:val="5F773F0E"/>
    <w:rsid w:val="5F7C7776"/>
    <w:rsid w:val="5F922268"/>
    <w:rsid w:val="5F986DF5"/>
    <w:rsid w:val="5FD77BCA"/>
    <w:rsid w:val="5FE07D05"/>
    <w:rsid w:val="603040BD"/>
    <w:rsid w:val="60325D64"/>
    <w:rsid w:val="607851F2"/>
    <w:rsid w:val="60816F0A"/>
    <w:rsid w:val="60892915"/>
    <w:rsid w:val="60BB7B6B"/>
    <w:rsid w:val="60BD5461"/>
    <w:rsid w:val="60CE4002"/>
    <w:rsid w:val="60D74197"/>
    <w:rsid w:val="60DB671F"/>
    <w:rsid w:val="60DD21E0"/>
    <w:rsid w:val="60DF561A"/>
    <w:rsid w:val="60EC26DA"/>
    <w:rsid w:val="61016185"/>
    <w:rsid w:val="61074334"/>
    <w:rsid w:val="61113EEE"/>
    <w:rsid w:val="61153803"/>
    <w:rsid w:val="61407419"/>
    <w:rsid w:val="61461DEA"/>
    <w:rsid w:val="61783F6D"/>
    <w:rsid w:val="61A77A72"/>
    <w:rsid w:val="61DE2022"/>
    <w:rsid w:val="61F335F4"/>
    <w:rsid w:val="62037CDB"/>
    <w:rsid w:val="620B4DE2"/>
    <w:rsid w:val="623600B0"/>
    <w:rsid w:val="62387FAF"/>
    <w:rsid w:val="62593D9F"/>
    <w:rsid w:val="62826A0B"/>
    <w:rsid w:val="629848C7"/>
    <w:rsid w:val="62993ECE"/>
    <w:rsid w:val="629B40F7"/>
    <w:rsid w:val="62AF7E63"/>
    <w:rsid w:val="62F472AA"/>
    <w:rsid w:val="6311162E"/>
    <w:rsid w:val="631D301E"/>
    <w:rsid w:val="63A91F24"/>
    <w:rsid w:val="63B079EF"/>
    <w:rsid w:val="63D64B9D"/>
    <w:rsid w:val="63D97273"/>
    <w:rsid w:val="63E63410"/>
    <w:rsid w:val="63F773CC"/>
    <w:rsid w:val="640A1281"/>
    <w:rsid w:val="640F778A"/>
    <w:rsid w:val="64520AA6"/>
    <w:rsid w:val="64AA2690"/>
    <w:rsid w:val="64C62637"/>
    <w:rsid w:val="652F7039"/>
    <w:rsid w:val="65393A14"/>
    <w:rsid w:val="655F347A"/>
    <w:rsid w:val="6562740E"/>
    <w:rsid w:val="65931376"/>
    <w:rsid w:val="65A73073"/>
    <w:rsid w:val="65A90B99"/>
    <w:rsid w:val="65B55790"/>
    <w:rsid w:val="65C854C3"/>
    <w:rsid w:val="65D16AC7"/>
    <w:rsid w:val="65EC4433"/>
    <w:rsid w:val="65ED0ADC"/>
    <w:rsid w:val="65FB6301"/>
    <w:rsid w:val="65FC33BF"/>
    <w:rsid w:val="661E77C5"/>
    <w:rsid w:val="66495ED8"/>
    <w:rsid w:val="66837071"/>
    <w:rsid w:val="668A09CB"/>
    <w:rsid w:val="669D37BB"/>
    <w:rsid w:val="669E775F"/>
    <w:rsid w:val="66A03D4A"/>
    <w:rsid w:val="66BA2A18"/>
    <w:rsid w:val="66BE5D9F"/>
    <w:rsid w:val="66C814F3"/>
    <w:rsid w:val="66CC2CDD"/>
    <w:rsid w:val="66D9725C"/>
    <w:rsid w:val="66E22AC4"/>
    <w:rsid w:val="66E90D0C"/>
    <w:rsid w:val="67047575"/>
    <w:rsid w:val="67095D94"/>
    <w:rsid w:val="67144738"/>
    <w:rsid w:val="6716400D"/>
    <w:rsid w:val="67565B80"/>
    <w:rsid w:val="67623C57"/>
    <w:rsid w:val="67784932"/>
    <w:rsid w:val="6778579C"/>
    <w:rsid w:val="67A0216A"/>
    <w:rsid w:val="67A11CD1"/>
    <w:rsid w:val="67A44B06"/>
    <w:rsid w:val="68352BB8"/>
    <w:rsid w:val="684D4516"/>
    <w:rsid w:val="68664B20"/>
    <w:rsid w:val="687A593D"/>
    <w:rsid w:val="68A152B3"/>
    <w:rsid w:val="68A747E2"/>
    <w:rsid w:val="68B25F1A"/>
    <w:rsid w:val="68C63810"/>
    <w:rsid w:val="6911150F"/>
    <w:rsid w:val="69230C63"/>
    <w:rsid w:val="69297938"/>
    <w:rsid w:val="69380E3B"/>
    <w:rsid w:val="69474951"/>
    <w:rsid w:val="695131BA"/>
    <w:rsid w:val="69741CD5"/>
    <w:rsid w:val="697D65C5"/>
    <w:rsid w:val="69992CD3"/>
    <w:rsid w:val="69A55B1C"/>
    <w:rsid w:val="69AE20F4"/>
    <w:rsid w:val="69C441F4"/>
    <w:rsid w:val="69FA19C4"/>
    <w:rsid w:val="69FD3262"/>
    <w:rsid w:val="6A072332"/>
    <w:rsid w:val="6A153D69"/>
    <w:rsid w:val="6A2D097A"/>
    <w:rsid w:val="6A5D01A4"/>
    <w:rsid w:val="6A7379C8"/>
    <w:rsid w:val="6A9169C1"/>
    <w:rsid w:val="6AC875BB"/>
    <w:rsid w:val="6AD77F57"/>
    <w:rsid w:val="6AE24E59"/>
    <w:rsid w:val="6B0074AE"/>
    <w:rsid w:val="6B281942"/>
    <w:rsid w:val="6B2D6B7A"/>
    <w:rsid w:val="6B362C28"/>
    <w:rsid w:val="6B436DB5"/>
    <w:rsid w:val="6B596BBE"/>
    <w:rsid w:val="6B83441D"/>
    <w:rsid w:val="6BC06C3D"/>
    <w:rsid w:val="6BC775E7"/>
    <w:rsid w:val="6C24541E"/>
    <w:rsid w:val="6C5A5992"/>
    <w:rsid w:val="6C5D623A"/>
    <w:rsid w:val="6C941407"/>
    <w:rsid w:val="6D0112BB"/>
    <w:rsid w:val="6D025114"/>
    <w:rsid w:val="6D0C3AAC"/>
    <w:rsid w:val="6D8A305E"/>
    <w:rsid w:val="6DA714D3"/>
    <w:rsid w:val="6DD8201C"/>
    <w:rsid w:val="6DFD1A82"/>
    <w:rsid w:val="6E361438"/>
    <w:rsid w:val="6E6164B5"/>
    <w:rsid w:val="6E7B7B42"/>
    <w:rsid w:val="6E936473"/>
    <w:rsid w:val="6EA840E4"/>
    <w:rsid w:val="6ED331BE"/>
    <w:rsid w:val="6F082A05"/>
    <w:rsid w:val="6F0D03EB"/>
    <w:rsid w:val="6F35524C"/>
    <w:rsid w:val="6F375E6D"/>
    <w:rsid w:val="6F4A519B"/>
    <w:rsid w:val="6F5D119F"/>
    <w:rsid w:val="6F7B360A"/>
    <w:rsid w:val="6F887A72"/>
    <w:rsid w:val="6FAF4FFE"/>
    <w:rsid w:val="6FB70357"/>
    <w:rsid w:val="6FBB1BF5"/>
    <w:rsid w:val="6FBE16E5"/>
    <w:rsid w:val="6FC565D0"/>
    <w:rsid w:val="6FF65850"/>
    <w:rsid w:val="6FFB46E7"/>
    <w:rsid w:val="702A6D7B"/>
    <w:rsid w:val="703379DD"/>
    <w:rsid w:val="70510C62"/>
    <w:rsid w:val="705838E8"/>
    <w:rsid w:val="70622071"/>
    <w:rsid w:val="70673B2B"/>
    <w:rsid w:val="709A7A5C"/>
    <w:rsid w:val="70AB1C6A"/>
    <w:rsid w:val="70B93CA8"/>
    <w:rsid w:val="70BC3E77"/>
    <w:rsid w:val="70BC5C25"/>
    <w:rsid w:val="70D2369A"/>
    <w:rsid w:val="710D04BD"/>
    <w:rsid w:val="71107D1F"/>
    <w:rsid w:val="71137326"/>
    <w:rsid w:val="71145A61"/>
    <w:rsid w:val="713262A6"/>
    <w:rsid w:val="717C7162"/>
    <w:rsid w:val="71AC1D09"/>
    <w:rsid w:val="71AF12E6"/>
    <w:rsid w:val="7205364C"/>
    <w:rsid w:val="72167163"/>
    <w:rsid w:val="72253C9E"/>
    <w:rsid w:val="724445E8"/>
    <w:rsid w:val="729D2508"/>
    <w:rsid w:val="72A66B8C"/>
    <w:rsid w:val="72C16750"/>
    <w:rsid w:val="72EE0533"/>
    <w:rsid w:val="72FC49FE"/>
    <w:rsid w:val="73221F8B"/>
    <w:rsid w:val="73266BF2"/>
    <w:rsid w:val="733A72D5"/>
    <w:rsid w:val="736E6F7E"/>
    <w:rsid w:val="73DE3FB3"/>
    <w:rsid w:val="73F76F74"/>
    <w:rsid w:val="7408621C"/>
    <w:rsid w:val="742064CB"/>
    <w:rsid w:val="742859A7"/>
    <w:rsid w:val="743D707D"/>
    <w:rsid w:val="744A3547"/>
    <w:rsid w:val="745368A0"/>
    <w:rsid w:val="74655505"/>
    <w:rsid w:val="74806F69"/>
    <w:rsid w:val="74B03CF2"/>
    <w:rsid w:val="74B82BA7"/>
    <w:rsid w:val="74BD1F6B"/>
    <w:rsid w:val="74D6302D"/>
    <w:rsid w:val="7513602F"/>
    <w:rsid w:val="7524023C"/>
    <w:rsid w:val="752846C5"/>
    <w:rsid w:val="753D4E5A"/>
    <w:rsid w:val="75422471"/>
    <w:rsid w:val="75504B8E"/>
    <w:rsid w:val="755D72AA"/>
    <w:rsid w:val="758807CB"/>
    <w:rsid w:val="75AB44BA"/>
    <w:rsid w:val="75C15A8B"/>
    <w:rsid w:val="75C5557C"/>
    <w:rsid w:val="75D43A11"/>
    <w:rsid w:val="75DA5054"/>
    <w:rsid w:val="75F55735"/>
    <w:rsid w:val="760C31AA"/>
    <w:rsid w:val="761C4D9E"/>
    <w:rsid w:val="764C6080"/>
    <w:rsid w:val="765661D4"/>
    <w:rsid w:val="76650B0D"/>
    <w:rsid w:val="766A6123"/>
    <w:rsid w:val="7675154F"/>
    <w:rsid w:val="76772336"/>
    <w:rsid w:val="76A96C4B"/>
    <w:rsid w:val="76B33626"/>
    <w:rsid w:val="76BD26F7"/>
    <w:rsid w:val="76FB38E7"/>
    <w:rsid w:val="77000835"/>
    <w:rsid w:val="77130569"/>
    <w:rsid w:val="77266D5B"/>
    <w:rsid w:val="774B1AB0"/>
    <w:rsid w:val="77690189"/>
    <w:rsid w:val="77730BF4"/>
    <w:rsid w:val="77770A86"/>
    <w:rsid w:val="777777C7"/>
    <w:rsid w:val="778C09C1"/>
    <w:rsid w:val="77CC208D"/>
    <w:rsid w:val="77CF743E"/>
    <w:rsid w:val="77D01FB6"/>
    <w:rsid w:val="77DA4BE2"/>
    <w:rsid w:val="780D61CD"/>
    <w:rsid w:val="784D7AAA"/>
    <w:rsid w:val="78970D25"/>
    <w:rsid w:val="78B7340B"/>
    <w:rsid w:val="78F65A4C"/>
    <w:rsid w:val="78FB0AB1"/>
    <w:rsid w:val="792A3948"/>
    <w:rsid w:val="7943071A"/>
    <w:rsid w:val="7955517B"/>
    <w:rsid w:val="797C0647"/>
    <w:rsid w:val="79831531"/>
    <w:rsid w:val="7985301D"/>
    <w:rsid w:val="79892D64"/>
    <w:rsid w:val="79914BBC"/>
    <w:rsid w:val="79CA418D"/>
    <w:rsid w:val="79D129F2"/>
    <w:rsid w:val="79D87C9A"/>
    <w:rsid w:val="79DF3C9C"/>
    <w:rsid w:val="79F5721B"/>
    <w:rsid w:val="79FD75F2"/>
    <w:rsid w:val="79FE105C"/>
    <w:rsid w:val="7A0D5743"/>
    <w:rsid w:val="7A1C5986"/>
    <w:rsid w:val="7A290118"/>
    <w:rsid w:val="7A361F0E"/>
    <w:rsid w:val="7A396538"/>
    <w:rsid w:val="7A523156"/>
    <w:rsid w:val="7A570403"/>
    <w:rsid w:val="7A747570"/>
    <w:rsid w:val="7AB20098"/>
    <w:rsid w:val="7ADE0E8D"/>
    <w:rsid w:val="7AFE6E3A"/>
    <w:rsid w:val="7B2C7E4B"/>
    <w:rsid w:val="7B36328B"/>
    <w:rsid w:val="7B71585E"/>
    <w:rsid w:val="7B9A39AC"/>
    <w:rsid w:val="7BA21EBB"/>
    <w:rsid w:val="7BA67BFD"/>
    <w:rsid w:val="7BAF424E"/>
    <w:rsid w:val="7BB173BC"/>
    <w:rsid w:val="7BC97448"/>
    <w:rsid w:val="7BCD518A"/>
    <w:rsid w:val="7BF22E42"/>
    <w:rsid w:val="7C105077"/>
    <w:rsid w:val="7C173A51"/>
    <w:rsid w:val="7C43544C"/>
    <w:rsid w:val="7C977546"/>
    <w:rsid w:val="7C9E2682"/>
    <w:rsid w:val="7CC16886"/>
    <w:rsid w:val="7CCB1602"/>
    <w:rsid w:val="7D036989"/>
    <w:rsid w:val="7D083FA0"/>
    <w:rsid w:val="7D0C10A0"/>
    <w:rsid w:val="7D4476CE"/>
    <w:rsid w:val="7D6670F1"/>
    <w:rsid w:val="7D810472"/>
    <w:rsid w:val="7D8B70AB"/>
    <w:rsid w:val="7D9A7679"/>
    <w:rsid w:val="7DB67EA0"/>
    <w:rsid w:val="7DE22A43"/>
    <w:rsid w:val="7DF05160"/>
    <w:rsid w:val="7DFC3B04"/>
    <w:rsid w:val="7E28795D"/>
    <w:rsid w:val="7E2968C4"/>
    <w:rsid w:val="7E3037AE"/>
    <w:rsid w:val="7E355268"/>
    <w:rsid w:val="7E366AD6"/>
    <w:rsid w:val="7E736504"/>
    <w:rsid w:val="7E907359"/>
    <w:rsid w:val="7EA45F4A"/>
    <w:rsid w:val="7EB75C7D"/>
    <w:rsid w:val="7EC65EC0"/>
    <w:rsid w:val="7ECD54A1"/>
    <w:rsid w:val="7EE6781D"/>
    <w:rsid w:val="7F333000"/>
    <w:rsid w:val="7F517E80"/>
    <w:rsid w:val="7F5C22B2"/>
    <w:rsid w:val="7F9B10FB"/>
    <w:rsid w:val="7FE934FA"/>
    <w:rsid w:val="7FFC01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3">
    <w:name w:val="toa heading"/>
    <w:basedOn w:val="1"/>
    <w:next w:val="1"/>
    <w:qFormat/>
    <w:uiPriority w:val="0"/>
    <w:pPr>
      <w:widowControl/>
      <w:spacing w:before="120" w:after="0" w:line="240" w:lineRule="auto"/>
      <w:ind w:left="0" w:firstLine="3584"/>
    </w:pPr>
  </w:style>
  <w:style w:type="paragraph" w:styleId="4">
    <w:name w:val="Body Text"/>
    <w:basedOn w:val="1"/>
    <w:next w:val="1"/>
    <w:autoRedefine/>
    <w:semiHidden/>
    <w:qFormat/>
    <w:uiPriority w:val="0"/>
    <w:rPr>
      <w:rFonts w:ascii="Arial" w:hAnsi="Arial" w:eastAsia="Arial" w:cs="Arial"/>
      <w:sz w:val="21"/>
      <w:szCs w:val="21"/>
      <w:lang w:val="en-US" w:eastAsia="en-US" w:bidi="ar-SA"/>
    </w:rPr>
  </w:style>
  <w:style w:type="paragraph" w:styleId="5">
    <w:name w:val="Body Text Indent"/>
    <w:basedOn w:val="1"/>
    <w:next w:val="1"/>
    <w:autoRedefine/>
    <w:qFormat/>
    <w:uiPriority w:val="0"/>
    <w:pPr>
      <w:spacing w:after="120"/>
      <w:ind w:left="200" w:leftChars="200"/>
    </w:pPr>
  </w:style>
  <w:style w:type="paragraph" w:styleId="6">
    <w:name w:val="Plain Text"/>
    <w:basedOn w:val="1"/>
    <w:next w:val="7"/>
    <w:qFormat/>
    <w:uiPriority w:val="0"/>
    <w:rPr>
      <w:rFonts w:ascii="宋体"/>
      <w:color w:val="000000"/>
      <w:szCs w:val="20"/>
      <w:u w:val="none" w:color="000000"/>
    </w:rPr>
  </w:style>
  <w:style w:type="paragraph" w:styleId="7">
    <w:name w:val="index 7"/>
    <w:basedOn w:val="1"/>
    <w:next w:val="1"/>
    <w:qFormat/>
    <w:uiPriority w:val="0"/>
    <w:pPr>
      <w:autoSpaceDE/>
      <w:autoSpaceDN/>
      <w:adjustRightInd/>
      <w:ind w:left="1200" w:leftChars="1200"/>
    </w:pPr>
    <w:rPr>
      <w:color w:val="auto"/>
      <w:kern w:val="2"/>
      <w:szCs w:val="24"/>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next w:val="4"/>
    <w:autoRedefine/>
    <w:qFormat/>
    <w:uiPriority w:val="99"/>
    <w:pPr>
      <w:snapToGrid w:val="0"/>
      <w:jc w:val="left"/>
    </w:pPr>
    <w:rPr>
      <w:rFonts w:eastAsia="楷体_GB2312"/>
      <w:sz w:val="18"/>
      <w:szCs w:val="18"/>
    </w:rPr>
  </w:style>
  <w:style w:type="paragraph" w:styleId="11">
    <w:name w:val="table of figures"/>
    <w:basedOn w:val="1"/>
    <w:next w:val="1"/>
    <w:unhideWhenUsed/>
    <w:qFormat/>
    <w:uiPriority w:val="99"/>
    <w:pPr>
      <w:ind w:left="200" w:leftChars="200" w:hanging="200" w:hangingChars="200"/>
    </w:pPr>
    <w:rPr>
      <w:rFonts w:ascii="Times New Roman" w:hAnsi="Times New Roman" w:eastAsia="宋体" w:cs="Times New Roman"/>
    </w:r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14">
    <w:name w:val="Body Text First Indent"/>
    <w:basedOn w:val="4"/>
    <w:autoRedefine/>
    <w:unhideWhenUsed/>
    <w:qFormat/>
    <w:uiPriority w:val="0"/>
    <w:pPr>
      <w:adjustRightInd/>
      <w:spacing w:after="120" w:line="240" w:lineRule="auto"/>
      <w:ind w:firstLine="420" w:firstLineChars="100"/>
      <w:jc w:val="both"/>
    </w:pPr>
    <w:rPr>
      <w:rFonts w:ascii="Times New Roman"/>
      <w:kern w:val="2"/>
      <w:sz w:val="21"/>
      <w:szCs w:val="24"/>
    </w:rPr>
  </w:style>
  <w:style w:type="paragraph" w:styleId="15">
    <w:name w:val="Body Text First Indent 2"/>
    <w:basedOn w:val="5"/>
    <w:next w:val="14"/>
    <w:autoRedefine/>
    <w:qFormat/>
    <w:uiPriority w:val="0"/>
    <w:pPr>
      <w:ind w:firstLine="420" w:firstLineChars="200"/>
    </w:pPr>
  </w:style>
  <w:style w:type="character" w:styleId="18">
    <w:name w:val="Strong"/>
    <w:basedOn w:val="17"/>
    <w:autoRedefine/>
    <w:qFormat/>
    <w:uiPriority w:val="0"/>
    <w:rPr>
      <w:b/>
    </w:rPr>
  </w:style>
  <w:style w:type="character" w:styleId="19">
    <w:name w:val="HTML Sample"/>
    <w:basedOn w:val="17"/>
    <w:autoRedefine/>
    <w:qFormat/>
    <w:uiPriority w:val="0"/>
    <w:rPr>
      <w:rFonts w:ascii="Courier New" w:hAnsi="Courier New"/>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paragraph" w:customStyle="1" w:styleId="21">
    <w:name w:val="Table Text"/>
    <w:basedOn w:val="1"/>
    <w:autoRedefine/>
    <w:semiHidden/>
    <w:qFormat/>
    <w:uiPriority w:val="0"/>
    <w:rPr>
      <w:rFonts w:ascii="宋体" w:hAnsi="宋体" w:eastAsia="宋体" w:cs="宋体"/>
      <w:sz w:val="23"/>
      <w:szCs w:val="23"/>
      <w:lang w:val="en-US" w:eastAsia="en-US" w:bidi="ar-SA"/>
    </w:rPr>
  </w:style>
  <w:style w:type="character" w:customStyle="1" w:styleId="22">
    <w:name w:val="font21"/>
    <w:basedOn w:val="17"/>
    <w:autoRedefine/>
    <w:qFormat/>
    <w:uiPriority w:val="0"/>
    <w:rPr>
      <w:rFonts w:ascii="黑体" w:hAnsi="宋体" w:eastAsia="黑体" w:cs="黑体"/>
      <w:color w:val="000000"/>
      <w:sz w:val="18"/>
      <w:szCs w:val="18"/>
      <w:u w:val="none"/>
    </w:rPr>
  </w:style>
  <w:style w:type="character" w:customStyle="1" w:styleId="23">
    <w:name w:val="font11"/>
    <w:basedOn w:val="17"/>
    <w:autoRedefine/>
    <w:qFormat/>
    <w:uiPriority w:val="0"/>
    <w:rPr>
      <w:rFonts w:hint="eastAsia" w:ascii="宋体" w:hAnsi="宋体" w:eastAsia="宋体" w:cs="宋体"/>
      <w:color w:val="000000"/>
      <w:sz w:val="18"/>
      <w:szCs w:val="18"/>
      <w:u w:val="none"/>
    </w:rPr>
  </w:style>
  <w:style w:type="paragraph" w:customStyle="1" w:styleId="2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大标题"/>
    <w:basedOn w:val="1"/>
    <w:next w:val="15"/>
    <w:autoRedefine/>
    <w:qFormat/>
    <w:uiPriority w:val="0"/>
    <w:pPr>
      <w:jc w:val="center"/>
    </w:pPr>
    <w:rPr>
      <w:rFonts w:ascii="Arial" w:hAnsi="Arial" w:eastAsia="宋体" w:cs="Times New Roman"/>
      <w:b/>
      <w:sz w:val="28"/>
      <w:szCs w:val="24"/>
    </w:rPr>
  </w:style>
  <w:style w:type="paragraph" w:customStyle="1" w:styleId="26">
    <w:name w:val="正文格式"/>
    <w:basedOn w:val="1"/>
    <w:autoRedefine/>
    <w:qFormat/>
    <w:uiPriority w:val="99"/>
    <w:pPr>
      <w:widowControl/>
      <w:adjustRightInd w:val="0"/>
      <w:snapToGrid w:val="0"/>
      <w:spacing w:line="400" w:lineRule="atLeast"/>
      <w:ind w:firstLine="482"/>
      <w:textAlignment w:val="baseline"/>
    </w:pPr>
  </w:style>
  <w:style w:type="paragraph" w:customStyle="1" w:styleId="27">
    <w:name w:val="样式 10 磅"/>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正文"/>
    <w:basedOn w:val="1"/>
    <w:autoRedefine/>
    <w:qFormat/>
    <w:uiPriority w:val="99"/>
    <w:pPr>
      <w:spacing w:line="360" w:lineRule="auto"/>
      <w:ind w:firstLine="480"/>
    </w:pPr>
    <w:rPr>
      <w:kern w:val="0"/>
      <w:sz w:val="24"/>
      <w:szCs w:val="24"/>
      <w:lang w:val="zh-CN"/>
    </w:rPr>
  </w:style>
  <w:style w:type="paragraph" w:customStyle="1" w:styleId="29">
    <w:name w:val="Table Paragraph"/>
    <w:basedOn w:val="1"/>
    <w:autoRedefine/>
    <w:unhideWhenUsed/>
    <w:qFormat/>
    <w:uiPriority w:val="1"/>
    <w:pPr>
      <w:spacing w:beforeLines="0" w:afterLines="0"/>
    </w:pPr>
    <w:rPr>
      <w:rFonts w:hint="eastAsia"/>
      <w:sz w:val="24"/>
      <w:szCs w:val="24"/>
    </w:rPr>
  </w:style>
  <w:style w:type="paragraph" w:customStyle="1" w:styleId="30">
    <w:name w:val="样式 样式 左侧:  2 字符 + 左侧:  0.85 厘米 首行缩进:  2 字符1"/>
    <w:basedOn w:val="1"/>
    <w:qFormat/>
    <w:uiPriority w:val="0"/>
    <w:pPr>
      <w:ind w:left="482" w:firstLine="200" w:firstLineChars="200"/>
    </w:pPr>
    <w:rPr>
      <w:szCs w:val="20"/>
    </w:rPr>
  </w:style>
  <w:style w:type="paragraph" w:customStyle="1" w:styleId="31">
    <w:name w:val="Table caption|1"/>
    <w:basedOn w:val="1"/>
    <w:qFormat/>
    <w:uiPriority w:val="0"/>
    <w:rPr>
      <w:rFonts w:ascii="宋体" w:hAnsi="宋体" w:eastAsia="宋体" w:cs="宋体"/>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30.xml"/><Relationship Id="rId37" Type="http://schemas.openxmlformats.org/officeDocument/2006/relationships/footer" Target="footer29.xml"/><Relationship Id="rId36" Type="http://schemas.openxmlformats.org/officeDocument/2006/relationships/footer" Target="footer28.xml"/><Relationship Id="rId35" Type="http://schemas.openxmlformats.org/officeDocument/2006/relationships/footer" Target="footer27.xml"/><Relationship Id="rId34" Type="http://schemas.openxmlformats.org/officeDocument/2006/relationships/footer" Target="footer26.xml"/><Relationship Id="rId33" Type="http://schemas.openxmlformats.org/officeDocument/2006/relationships/footer" Target="footer25.xml"/><Relationship Id="rId32" Type="http://schemas.openxmlformats.org/officeDocument/2006/relationships/footer" Target="footer24.xml"/><Relationship Id="rId31" Type="http://schemas.openxmlformats.org/officeDocument/2006/relationships/footer" Target="footer23.xml"/><Relationship Id="rId30" Type="http://schemas.openxmlformats.org/officeDocument/2006/relationships/footer" Target="footer22.xml"/><Relationship Id="rId3" Type="http://schemas.openxmlformats.org/officeDocument/2006/relationships/footnotes" Target="footnotes.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footer" Target="footer19.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4.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78</Pages>
  <Words>18998</Words>
  <Characters>20986</Characters>
  <TotalTime>0</TotalTime>
  <ScaleCrop>false</ScaleCrop>
  <LinksUpToDate>false</LinksUpToDate>
  <CharactersWithSpaces>21187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2024-02-27T11:46:00Z</dcterms:created>
  <dc:creator>Z先生</dc:creator>
  <cp:lastModifiedBy>简单就好　。</cp:lastModifiedBy>
  <cp:lastPrinted>2026-04-20T02:18:00Z</cp:lastPrinted>
  <dcterms:modified xsi:type="dcterms:W3CDTF">2026-04-21T10:42:07Z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2024-02-27T18:02:52Z</vt:filetime>
  </property>
  <property fmtid="{D5CDD505-2E9C-101B-9397-08002B2CF9AE}" pid="4" name="KSOProductBuildVer">
    <vt:lpwstr>2052-12.1.0.25225</vt:lpwstr>
  </property>
  <property fmtid="{D5CDD505-2E9C-101B-9397-08002B2CF9AE}" pid="5" name="ICV">
    <vt:lpwstr>16C0119DE19E4BB7B6A2D07B0F413D75_13</vt:lpwstr>
  </property>
  <property fmtid="{D5CDD505-2E9C-101B-9397-08002B2CF9AE}" pid="6" name="KSOTemplateDocerSaveRecord">
    <vt:lpwstr>eyJoZGlkIjoiZGE4YTFlNWMzNmZlMDBlODQwMDJjZDczYmUzMThkY2EiLCJ1c2VySWQiOiI3MDg1MjYxOTQifQ==</vt:lpwstr>
  </property>
</Properties>
</file>